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74" w:rsidRPr="00462AD0" w:rsidRDefault="00383674" w:rsidP="004A2C3E">
      <w:pPr>
        <w:pStyle w:val="BodyText"/>
        <w:jc w:val="left"/>
        <w:rPr>
          <w:b w:val="0"/>
          <w:color w:val="000000"/>
          <w:sz w:val="20"/>
        </w:rPr>
      </w:pPr>
      <w:bookmarkStart w:id="0" w:name="_GoBack"/>
      <w:bookmarkEnd w:id="0"/>
    </w:p>
    <w:p w:rsidR="00EA1611" w:rsidRDefault="00EA1611" w:rsidP="0032007C">
      <w:pPr>
        <w:pStyle w:val="BodyText"/>
        <w:jc w:val="left"/>
        <w:rPr>
          <w:color w:val="000000"/>
          <w:szCs w:val="32"/>
        </w:rPr>
      </w:pPr>
    </w:p>
    <w:p w:rsidR="004A2C3E" w:rsidRPr="00646C18" w:rsidRDefault="006F7402" w:rsidP="0032007C">
      <w:pPr>
        <w:pStyle w:val="BodyText"/>
        <w:jc w:val="left"/>
        <w:rPr>
          <w:color w:val="000000"/>
          <w:szCs w:val="32"/>
        </w:rPr>
      </w:pPr>
      <w:r w:rsidRPr="00646C18">
        <w:rPr>
          <w:color w:val="000000"/>
          <w:szCs w:val="32"/>
        </w:rPr>
        <w:t xml:space="preserve">Manuscript Preparation for </w:t>
      </w:r>
      <w:r w:rsidR="00767890">
        <w:rPr>
          <w:color w:val="000000"/>
          <w:szCs w:val="32"/>
        </w:rPr>
        <w:t>CBMT 2020</w:t>
      </w:r>
      <w:r w:rsidR="00C873DE" w:rsidRPr="00646C18">
        <w:rPr>
          <w:color w:val="000000"/>
          <w:szCs w:val="32"/>
        </w:rPr>
        <w:t>,</w:t>
      </w:r>
      <w:r w:rsidR="00705A3F" w:rsidRPr="00646C18">
        <w:rPr>
          <w:color w:val="000000"/>
          <w:szCs w:val="32"/>
        </w:rPr>
        <w:t xml:space="preserve"> </w:t>
      </w:r>
      <w:r w:rsidR="00767890">
        <w:rPr>
          <w:color w:val="000000"/>
          <w:szCs w:val="32"/>
        </w:rPr>
        <w:t xml:space="preserve">International Conference on </w:t>
      </w:r>
      <w:r w:rsidR="00767890" w:rsidRPr="00767890">
        <w:rPr>
          <w:color w:val="000000"/>
          <w:szCs w:val="32"/>
        </w:rPr>
        <w:t>Cement - Based Materials Tailored for a Sustainable Future</w:t>
      </w:r>
    </w:p>
    <w:p w:rsidR="00383674" w:rsidRPr="00462AD0" w:rsidRDefault="00383674" w:rsidP="00013A71">
      <w:pPr>
        <w:rPr>
          <w:color w:val="000000"/>
        </w:rPr>
      </w:pPr>
    </w:p>
    <w:p w:rsidR="00383674" w:rsidRPr="00462AD0" w:rsidRDefault="00383674" w:rsidP="00013A71">
      <w:pPr>
        <w:rPr>
          <w:color w:val="000000"/>
        </w:rPr>
      </w:pPr>
    </w:p>
    <w:p w:rsidR="002512F2" w:rsidRPr="00462AD0" w:rsidRDefault="002512F2" w:rsidP="00013A71">
      <w:pPr>
        <w:rPr>
          <w:color w:val="000000"/>
        </w:rPr>
      </w:pPr>
    </w:p>
    <w:p w:rsidR="00013A71" w:rsidRPr="00462AD0" w:rsidRDefault="002452A7" w:rsidP="00013A71">
      <w:pPr>
        <w:rPr>
          <w:b/>
          <w:color w:val="000000"/>
          <w:sz w:val="24"/>
          <w:szCs w:val="24"/>
        </w:rPr>
      </w:pPr>
      <w:r w:rsidRPr="00462AD0">
        <w:rPr>
          <w:b/>
          <w:color w:val="000000"/>
          <w:sz w:val="24"/>
          <w:szCs w:val="24"/>
        </w:rPr>
        <w:t>A. B. Surname</w:t>
      </w:r>
      <w:r w:rsidR="00352605" w:rsidRPr="00462AD0">
        <w:rPr>
          <w:b/>
          <w:color w:val="000000"/>
          <w:sz w:val="24"/>
          <w:szCs w:val="24"/>
          <w:vertAlign w:val="superscript"/>
        </w:rPr>
        <w:t>1</w:t>
      </w:r>
      <w:r w:rsidR="00013A71" w:rsidRPr="00462AD0">
        <w:rPr>
          <w:b/>
          <w:color w:val="000000"/>
          <w:sz w:val="24"/>
          <w:szCs w:val="24"/>
        </w:rPr>
        <w:t>, C. D. Surname</w:t>
      </w:r>
      <w:r w:rsidR="00352605" w:rsidRPr="00462AD0">
        <w:rPr>
          <w:b/>
          <w:color w:val="000000"/>
          <w:sz w:val="24"/>
          <w:szCs w:val="24"/>
          <w:vertAlign w:val="superscript"/>
        </w:rPr>
        <w:t>2</w:t>
      </w:r>
    </w:p>
    <w:p w:rsidR="00E42188" w:rsidRPr="00462AD0" w:rsidRDefault="00E42188" w:rsidP="007F00D3">
      <w:pPr>
        <w:rPr>
          <w:color w:val="000000"/>
        </w:rPr>
      </w:pPr>
    </w:p>
    <w:p w:rsidR="00E42188" w:rsidRPr="00462AD0" w:rsidRDefault="00352605" w:rsidP="007F00D3">
      <w:pPr>
        <w:rPr>
          <w:color w:val="000000"/>
        </w:rPr>
      </w:pPr>
      <w:r w:rsidRPr="00462AD0">
        <w:rPr>
          <w:color w:val="000000"/>
          <w:vertAlign w:val="superscript"/>
        </w:rPr>
        <w:t>1</w:t>
      </w:r>
      <w:r w:rsidRPr="00462AD0">
        <w:rPr>
          <w:color w:val="000000"/>
        </w:rPr>
        <w:t xml:space="preserve">Department of Civil Engineering, </w:t>
      </w:r>
      <w:proofErr w:type="spellStart"/>
      <w:r w:rsidR="00D03B0F">
        <w:rPr>
          <w:color w:val="000000"/>
        </w:rPr>
        <w:t>Bogazici</w:t>
      </w:r>
      <w:proofErr w:type="spellEnd"/>
      <w:r w:rsidR="00D03B0F">
        <w:rPr>
          <w:color w:val="000000"/>
        </w:rPr>
        <w:t xml:space="preserve"> University</w:t>
      </w:r>
      <w:r w:rsidRPr="00462AD0">
        <w:rPr>
          <w:color w:val="000000"/>
        </w:rPr>
        <w:t xml:space="preserve">, </w:t>
      </w:r>
      <w:r w:rsidR="00EA1611">
        <w:rPr>
          <w:color w:val="000000"/>
        </w:rPr>
        <w:t>Istanbul</w:t>
      </w:r>
      <w:r w:rsidR="00467456" w:rsidRPr="00462AD0">
        <w:rPr>
          <w:color w:val="000000"/>
        </w:rPr>
        <w:t>, Turkey</w:t>
      </w:r>
      <w:r w:rsidR="00462AD0">
        <w:rPr>
          <w:color w:val="000000"/>
        </w:rPr>
        <w:t>, e-mail</w:t>
      </w:r>
    </w:p>
    <w:p w:rsidR="00A82873" w:rsidRDefault="00352605" w:rsidP="007F00D3">
      <w:pPr>
        <w:rPr>
          <w:color w:val="000000"/>
        </w:rPr>
      </w:pPr>
      <w:r w:rsidRPr="00462AD0">
        <w:rPr>
          <w:color w:val="000000"/>
          <w:vertAlign w:val="superscript"/>
        </w:rPr>
        <w:t>2</w:t>
      </w:r>
      <w:r w:rsidR="00467456" w:rsidRPr="00462AD0">
        <w:rPr>
          <w:color w:val="000000"/>
        </w:rPr>
        <w:t xml:space="preserve">Department of Civil Engineering, </w:t>
      </w:r>
      <w:proofErr w:type="spellStart"/>
      <w:r w:rsidR="00D03B0F">
        <w:rPr>
          <w:color w:val="000000"/>
        </w:rPr>
        <w:t>Bogazici</w:t>
      </w:r>
      <w:proofErr w:type="spellEnd"/>
      <w:r w:rsidR="00D03B0F">
        <w:rPr>
          <w:color w:val="000000"/>
        </w:rPr>
        <w:t xml:space="preserve"> University</w:t>
      </w:r>
      <w:r w:rsidR="00A82873" w:rsidRPr="00462AD0">
        <w:rPr>
          <w:color w:val="000000"/>
        </w:rPr>
        <w:t xml:space="preserve">, </w:t>
      </w:r>
      <w:r w:rsidR="00EA1611">
        <w:rPr>
          <w:color w:val="000000"/>
        </w:rPr>
        <w:t>Istanbul</w:t>
      </w:r>
      <w:r w:rsidR="00A82873" w:rsidRPr="00462AD0">
        <w:rPr>
          <w:color w:val="000000"/>
        </w:rPr>
        <w:t>, Turkey</w:t>
      </w:r>
      <w:r w:rsidR="00A82873">
        <w:rPr>
          <w:color w:val="000000"/>
        </w:rPr>
        <w:t>, e-mail</w:t>
      </w:r>
      <w:r w:rsidR="00A82873" w:rsidRPr="00462AD0">
        <w:rPr>
          <w:color w:val="000000"/>
        </w:rPr>
        <w:t xml:space="preserve"> </w:t>
      </w:r>
    </w:p>
    <w:p w:rsidR="00C02C28" w:rsidRPr="00462AD0" w:rsidRDefault="00C02C28" w:rsidP="007F00D3">
      <w:pPr>
        <w:rPr>
          <w:color w:val="000000"/>
        </w:rPr>
      </w:pPr>
    </w:p>
    <w:p w:rsidR="00513ADA" w:rsidRPr="00462AD0" w:rsidRDefault="00513ADA" w:rsidP="007F00D3">
      <w:pPr>
        <w:rPr>
          <w:color w:val="000000"/>
        </w:rPr>
      </w:pPr>
    </w:p>
    <w:p w:rsidR="007F00D3" w:rsidRPr="00462AD0" w:rsidRDefault="007F00D3" w:rsidP="007F00D3">
      <w:pPr>
        <w:rPr>
          <w:color w:val="000000"/>
        </w:rPr>
      </w:pPr>
    </w:p>
    <w:p w:rsidR="002452A7" w:rsidRPr="00646C18" w:rsidRDefault="003D63D1" w:rsidP="00191D14">
      <w:pPr>
        <w:rPr>
          <w:b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>Ab</w:t>
      </w:r>
      <w:r w:rsidR="002452A7" w:rsidRPr="00646C18">
        <w:rPr>
          <w:b/>
          <w:color w:val="000000"/>
          <w:sz w:val="24"/>
          <w:szCs w:val="24"/>
        </w:rPr>
        <w:t>stract</w:t>
      </w:r>
    </w:p>
    <w:p w:rsidR="008A22C1" w:rsidRPr="00462AD0" w:rsidRDefault="008A22C1" w:rsidP="008F7A0D">
      <w:pPr>
        <w:jc w:val="both"/>
        <w:rPr>
          <w:color w:val="000000"/>
        </w:rPr>
      </w:pPr>
    </w:p>
    <w:p w:rsidR="008F7A0D" w:rsidRPr="00462AD0" w:rsidRDefault="00042F93" w:rsidP="008F7A0D">
      <w:pPr>
        <w:jc w:val="both"/>
        <w:rPr>
          <w:color w:val="000000"/>
        </w:rPr>
      </w:pPr>
      <w:r w:rsidRPr="00462AD0">
        <w:rPr>
          <w:color w:val="000000"/>
        </w:rPr>
        <w:t xml:space="preserve">This document template is designed to guide authors in </w:t>
      </w:r>
      <w:r w:rsidR="00383674" w:rsidRPr="00462AD0">
        <w:rPr>
          <w:color w:val="000000"/>
        </w:rPr>
        <w:t>writing their papers by direct</w:t>
      </w:r>
      <w:r w:rsidRPr="00462AD0">
        <w:rPr>
          <w:color w:val="000000"/>
        </w:rPr>
        <w:t xml:space="preserve"> editing. </w:t>
      </w:r>
      <w:r w:rsidR="00BA3BDE" w:rsidRPr="00462AD0">
        <w:rPr>
          <w:color w:val="000000"/>
        </w:rPr>
        <w:t xml:space="preserve">Alternatively, authors can </w:t>
      </w:r>
      <w:r w:rsidRPr="00462AD0">
        <w:rPr>
          <w:color w:val="000000"/>
        </w:rPr>
        <w:t xml:space="preserve">use </w:t>
      </w:r>
      <w:r w:rsidR="00C46305" w:rsidRPr="00462AD0">
        <w:rPr>
          <w:color w:val="000000"/>
        </w:rPr>
        <w:t>this manuscript</w:t>
      </w:r>
      <w:r w:rsidRPr="00462AD0">
        <w:rPr>
          <w:color w:val="000000"/>
        </w:rPr>
        <w:t xml:space="preserve"> </w:t>
      </w:r>
      <w:r w:rsidR="00C46305" w:rsidRPr="00462AD0">
        <w:rPr>
          <w:color w:val="000000"/>
        </w:rPr>
        <w:t>and follow the g</w:t>
      </w:r>
      <w:r w:rsidRPr="00462AD0">
        <w:rPr>
          <w:color w:val="000000"/>
        </w:rPr>
        <w:t xml:space="preserve">uidelines to adjust format of their paper to the required </w:t>
      </w:r>
      <w:r w:rsidR="00324E1B" w:rsidRPr="00462AD0">
        <w:rPr>
          <w:color w:val="000000"/>
        </w:rPr>
        <w:t>form</w:t>
      </w:r>
      <w:r w:rsidRPr="00462AD0">
        <w:rPr>
          <w:color w:val="000000"/>
        </w:rPr>
        <w:t xml:space="preserve">. </w:t>
      </w:r>
      <w:r w:rsidR="00324E1B" w:rsidRPr="00462AD0">
        <w:rPr>
          <w:color w:val="000000"/>
        </w:rPr>
        <w:t>This “abstract”</w:t>
      </w:r>
      <w:r w:rsidR="002E2CF9" w:rsidRPr="00462AD0">
        <w:rPr>
          <w:color w:val="000000"/>
        </w:rPr>
        <w:t xml:space="preserve"> </w:t>
      </w:r>
      <w:r w:rsidR="00324E1B" w:rsidRPr="00462AD0">
        <w:rPr>
          <w:color w:val="000000"/>
        </w:rPr>
        <w:t xml:space="preserve">section is </w:t>
      </w:r>
      <w:r w:rsidR="002E2CF9" w:rsidRPr="00462AD0">
        <w:rPr>
          <w:color w:val="000000"/>
        </w:rPr>
        <w:t xml:space="preserve">limited to a maximum of </w:t>
      </w:r>
      <w:r w:rsidR="004A783C" w:rsidRPr="00462AD0">
        <w:rPr>
          <w:color w:val="000000"/>
        </w:rPr>
        <w:t xml:space="preserve">250 </w:t>
      </w:r>
      <w:r w:rsidR="002E2CF9" w:rsidRPr="00462AD0">
        <w:rPr>
          <w:color w:val="000000"/>
        </w:rPr>
        <w:t>words</w:t>
      </w:r>
      <w:r w:rsidR="00324E1B" w:rsidRPr="00462AD0">
        <w:rPr>
          <w:color w:val="000000"/>
        </w:rPr>
        <w:t>. The authors are required to present a short summary of their study including their findings, conclusions and outcomes</w:t>
      </w:r>
      <w:r w:rsidR="00383674" w:rsidRPr="00462AD0">
        <w:rPr>
          <w:color w:val="000000"/>
        </w:rPr>
        <w:t>.</w:t>
      </w:r>
      <w:r w:rsidR="00324E1B" w:rsidRPr="00462AD0">
        <w:rPr>
          <w:color w:val="000000"/>
        </w:rPr>
        <w:t xml:space="preserve"> </w:t>
      </w:r>
    </w:p>
    <w:p w:rsidR="002E2CF9" w:rsidRPr="00462AD0" w:rsidRDefault="002E2CF9" w:rsidP="0090386B">
      <w:pPr>
        <w:jc w:val="both"/>
        <w:rPr>
          <w:color w:val="000000"/>
        </w:rPr>
      </w:pPr>
    </w:p>
    <w:p w:rsidR="007F46C0" w:rsidRPr="00462AD0" w:rsidRDefault="007F46C0" w:rsidP="00F05B0A">
      <w:pPr>
        <w:jc w:val="both"/>
        <w:rPr>
          <w:b/>
          <w:i/>
          <w:color w:val="000000"/>
        </w:rPr>
      </w:pPr>
      <w:r w:rsidRPr="00462AD0">
        <w:rPr>
          <w:b/>
          <w:i/>
          <w:color w:val="000000"/>
        </w:rPr>
        <w:t>Keywords:</w:t>
      </w:r>
      <w:r w:rsidRPr="00462AD0">
        <w:rPr>
          <w:i/>
          <w:color w:val="000000"/>
        </w:rPr>
        <w:t xml:space="preserve"> </w:t>
      </w:r>
      <w:r w:rsidR="009B4134" w:rsidRPr="00462AD0">
        <w:rPr>
          <w:i/>
          <w:color w:val="000000"/>
        </w:rPr>
        <w:t xml:space="preserve">this section should be written in italic and include </w:t>
      </w:r>
      <w:r w:rsidR="00BE4652" w:rsidRPr="00462AD0">
        <w:rPr>
          <w:i/>
          <w:color w:val="000000"/>
        </w:rPr>
        <w:t xml:space="preserve">a maximum of 5 </w:t>
      </w:r>
      <w:r w:rsidR="009B4134" w:rsidRPr="00462AD0">
        <w:rPr>
          <w:i/>
          <w:color w:val="000000"/>
        </w:rPr>
        <w:t>keywords related with the study.</w:t>
      </w:r>
    </w:p>
    <w:p w:rsidR="00402990" w:rsidRPr="00462AD0" w:rsidRDefault="00402990" w:rsidP="008F7A0D">
      <w:pPr>
        <w:jc w:val="both"/>
        <w:rPr>
          <w:color w:val="000000"/>
        </w:rPr>
      </w:pPr>
    </w:p>
    <w:p w:rsidR="0042457E" w:rsidRPr="00462AD0" w:rsidRDefault="0042457E" w:rsidP="008F7A0D">
      <w:pPr>
        <w:jc w:val="both"/>
        <w:rPr>
          <w:color w:val="000000"/>
        </w:rPr>
      </w:pPr>
    </w:p>
    <w:p w:rsidR="002E2CF9" w:rsidRPr="00646C18" w:rsidRDefault="006234CD" w:rsidP="008F7A0D">
      <w:pPr>
        <w:jc w:val="both"/>
        <w:rPr>
          <w:b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 xml:space="preserve">1 </w:t>
      </w:r>
      <w:r w:rsidR="002E2CF9" w:rsidRPr="00646C18">
        <w:rPr>
          <w:b/>
          <w:color w:val="000000"/>
          <w:sz w:val="24"/>
          <w:szCs w:val="24"/>
        </w:rPr>
        <w:t>Introduction</w:t>
      </w:r>
    </w:p>
    <w:p w:rsidR="008A22C1" w:rsidRPr="00462AD0" w:rsidRDefault="008A22C1" w:rsidP="008F7A0D">
      <w:pPr>
        <w:jc w:val="both"/>
        <w:rPr>
          <w:color w:val="000000"/>
        </w:rPr>
      </w:pPr>
    </w:p>
    <w:p w:rsidR="0019182A" w:rsidRPr="00462AD0" w:rsidRDefault="00337761" w:rsidP="008F7A0D">
      <w:pPr>
        <w:jc w:val="both"/>
        <w:rPr>
          <w:color w:val="000000"/>
        </w:rPr>
      </w:pPr>
      <w:r w:rsidRPr="00462AD0">
        <w:rPr>
          <w:color w:val="000000"/>
        </w:rPr>
        <w:t xml:space="preserve">Submission of full papers will be due to </w:t>
      </w:r>
      <w:r w:rsidR="00767890">
        <w:rPr>
          <w:color w:val="000000"/>
        </w:rPr>
        <w:t>November</w:t>
      </w:r>
      <w:r w:rsidR="00092FCA">
        <w:rPr>
          <w:color w:val="000000"/>
        </w:rPr>
        <w:t xml:space="preserve"> </w:t>
      </w:r>
      <w:r w:rsidR="00D03B0F">
        <w:rPr>
          <w:color w:val="000000"/>
        </w:rPr>
        <w:t>3</w:t>
      </w:r>
      <w:r w:rsidR="00767890">
        <w:rPr>
          <w:color w:val="000000"/>
        </w:rPr>
        <w:t>1</w:t>
      </w:r>
      <w:r w:rsidR="00D15ECB">
        <w:rPr>
          <w:color w:val="000000"/>
        </w:rPr>
        <w:t>, 201</w:t>
      </w:r>
      <w:r w:rsidR="00767890">
        <w:rPr>
          <w:color w:val="000000"/>
        </w:rPr>
        <w:t>9</w:t>
      </w:r>
      <w:r w:rsidR="00383674" w:rsidRPr="00462AD0">
        <w:rPr>
          <w:color w:val="000000"/>
        </w:rPr>
        <w:t xml:space="preserve">. Paper submissions must be in electronic copy, in </w:t>
      </w:r>
      <w:r w:rsidR="00D03B0F">
        <w:rPr>
          <w:color w:val="000000"/>
        </w:rPr>
        <w:t xml:space="preserve">both </w:t>
      </w:r>
      <w:r w:rsidR="00EA303E" w:rsidRPr="00462AD0">
        <w:rPr>
          <w:color w:val="000000"/>
        </w:rPr>
        <w:t>Microsoft</w:t>
      </w:r>
      <w:r w:rsidR="00D15ECB">
        <w:rPr>
          <w:color w:val="000000"/>
        </w:rPr>
        <w:t xml:space="preserve"> Word </w:t>
      </w:r>
      <w:r w:rsidR="00EA1611">
        <w:rPr>
          <w:color w:val="000000"/>
        </w:rPr>
        <w:t xml:space="preserve">and PDF </w:t>
      </w:r>
      <w:r w:rsidR="00D15ECB">
        <w:rPr>
          <w:color w:val="000000"/>
        </w:rPr>
        <w:t>Document</w:t>
      </w:r>
      <w:r w:rsidR="00D03B0F">
        <w:rPr>
          <w:color w:val="000000"/>
        </w:rPr>
        <w:t xml:space="preserve"> formats</w:t>
      </w:r>
      <w:r w:rsidR="007A4150">
        <w:rPr>
          <w:color w:val="000000"/>
        </w:rPr>
        <w:t>.</w:t>
      </w:r>
      <w:r w:rsidRPr="00462AD0">
        <w:rPr>
          <w:color w:val="000000"/>
        </w:rPr>
        <w:t xml:space="preserve"> </w:t>
      </w:r>
    </w:p>
    <w:p w:rsidR="00EA303E" w:rsidRPr="00462AD0" w:rsidRDefault="00EA303E" w:rsidP="008F7A0D">
      <w:pPr>
        <w:jc w:val="both"/>
        <w:rPr>
          <w:color w:val="000000"/>
        </w:rPr>
      </w:pPr>
    </w:p>
    <w:p w:rsidR="001C3123" w:rsidRPr="00462AD0" w:rsidRDefault="001C3123" w:rsidP="008F7A0D">
      <w:pPr>
        <w:jc w:val="both"/>
        <w:rPr>
          <w:color w:val="000000"/>
        </w:rPr>
      </w:pPr>
    </w:p>
    <w:p w:rsidR="001F03BB" w:rsidRPr="00646C18" w:rsidRDefault="00383674" w:rsidP="008F7A0D">
      <w:pPr>
        <w:jc w:val="both"/>
        <w:rPr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 xml:space="preserve">2 </w:t>
      </w:r>
      <w:r w:rsidR="001F03BB" w:rsidRPr="00646C18">
        <w:rPr>
          <w:b/>
          <w:color w:val="000000"/>
          <w:sz w:val="24"/>
          <w:szCs w:val="24"/>
        </w:rPr>
        <w:t xml:space="preserve">Guidelines </w:t>
      </w:r>
    </w:p>
    <w:p w:rsidR="008A22C1" w:rsidRPr="00462AD0" w:rsidRDefault="008A22C1" w:rsidP="00337761">
      <w:pPr>
        <w:jc w:val="both"/>
        <w:rPr>
          <w:color w:val="000000"/>
        </w:rPr>
      </w:pPr>
    </w:p>
    <w:p w:rsidR="00337761" w:rsidRPr="00462AD0" w:rsidRDefault="00383674" w:rsidP="00337761">
      <w:pPr>
        <w:jc w:val="both"/>
        <w:rPr>
          <w:color w:val="000000"/>
        </w:rPr>
      </w:pPr>
      <w:r w:rsidRPr="00462AD0">
        <w:rPr>
          <w:color w:val="000000"/>
        </w:rPr>
        <w:t xml:space="preserve">Authors should </w:t>
      </w:r>
      <w:r w:rsidR="00655C40" w:rsidRPr="00462AD0">
        <w:rPr>
          <w:color w:val="000000"/>
        </w:rPr>
        <w:t>consider the following guidelines</w:t>
      </w:r>
      <w:r w:rsidR="00F859C6" w:rsidRPr="00462AD0">
        <w:rPr>
          <w:color w:val="000000"/>
        </w:rPr>
        <w:t xml:space="preserve"> in writing their papers</w:t>
      </w:r>
      <w:r w:rsidR="00655C40" w:rsidRPr="00462AD0">
        <w:rPr>
          <w:color w:val="000000"/>
        </w:rPr>
        <w:t>.</w:t>
      </w:r>
      <w:r w:rsidR="0096604C" w:rsidRPr="00462AD0">
        <w:rPr>
          <w:color w:val="000000"/>
        </w:rPr>
        <w:t xml:space="preserve"> </w:t>
      </w:r>
      <w:r w:rsidRPr="00462AD0">
        <w:rPr>
          <w:color w:val="000000"/>
        </w:rPr>
        <w:t xml:space="preserve">The paper size must be customized to </w:t>
      </w:r>
      <w:r w:rsidR="00092FCA">
        <w:rPr>
          <w:color w:val="000000"/>
        </w:rPr>
        <w:t>A4 size paper.</w:t>
      </w:r>
      <w:r w:rsidR="001336AD" w:rsidRPr="00462AD0">
        <w:rPr>
          <w:color w:val="000000"/>
        </w:rPr>
        <w:t xml:space="preserve"> </w:t>
      </w:r>
      <w:r w:rsidR="0096604C" w:rsidRPr="00462AD0">
        <w:rPr>
          <w:color w:val="000000"/>
        </w:rPr>
        <w:t>The page</w:t>
      </w:r>
      <w:r w:rsidR="00BA3BDE" w:rsidRPr="00462AD0">
        <w:rPr>
          <w:color w:val="000000"/>
        </w:rPr>
        <w:t xml:space="preserve"> setup must be adjusted such that </w:t>
      </w:r>
      <w:r w:rsidR="001336AD" w:rsidRPr="00462AD0">
        <w:rPr>
          <w:color w:val="000000"/>
        </w:rPr>
        <w:t>all margins are 2.5</w:t>
      </w:r>
      <w:r w:rsidR="003A121B" w:rsidRPr="00462AD0">
        <w:rPr>
          <w:color w:val="000000"/>
        </w:rPr>
        <w:t xml:space="preserve"> cm</w:t>
      </w:r>
      <w:r w:rsidR="001336AD" w:rsidRPr="00462AD0">
        <w:rPr>
          <w:color w:val="000000"/>
        </w:rPr>
        <w:t>.</w:t>
      </w:r>
      <w:r w:rsidR="0096604C" w:rsidRPr="00462AD0">
        <w:rPr>
          <w:color w:val="000000"/>
        </w:rPr>
        <w:t xml:space="preserve"> </w:t>
      </w:r>
      <w:r w:rsidR="00F830B5" w:rsidRPr="00462AD0">
        <w:rPr>
          <w:color w:val="000000"/>
        </w:rPr>
        <w:t>The body text should be aligned to “justified” style a</w:t>
      </w:r>
      <w:r w:rsidR="00C46305" w:rsidRPr="00462AD0">
        <w:rPr>
          <w:color w:val="000000"/>
        </w:rPr>
        <w:t>nd</w:t>
      </w:r>
      <w:r w:rsidR="0096604C" w:rsidRPr="00462AD0">
        <w:rPr>
          <w:color w:val="000000"/>
        </w:rPr>
        <w:t xml:space="preserve"> </w:t>
      </w:r>
      <w:r w:rsidR="00C46305" w:rsidRPr="00462AD0">
        <w:rPr>
          <w:color w:val="000000"/>
        </w:rPr>
        <w:t>line spacing must be single.</w:t>
      </w:r>
      <w:r w:rsidR="0071205D" w:rsidRPr="00462AD0">
        <w:rPr>
          <w:color w:val="000000"/>
        </w:rPr>
        <w:t xml:space="preserve"> </w:t>
      </w:r>
    </w:p>
    <w:p w:rsidR="00337761" w:rsidRPr="00462AD0" w:rsidRDefault="00337761" w:rsidP="00C2152F">
      <w:pPr>
        <w:jc w:val="both"/>
        <w:rPr>
          <w:color w:val="000000"/>
        </w:rPr>
      </w:pPr>
    </w:p>
    <w:p w:rsidR="00F11548" w:rsidRPr="00462AD0" w:rsidRDefault="001336AD" w:rsidP="0095294F">
      <w:pPr>
        <w:jc w:val="both"/>
        <w:rPr>
          <w:color w:val="000000"/>
        </w:rPr>
      </w:pPr>
      <w:r w:rsidRPr="00462AD0">
        <w:rPr>
          <w:color w:val="000000"/>
        </w:rPr>
        <w:t xml:space="preserve">Font type Times New Roman, size </w:t>
      </w:r>
      <w:r w:rsidR="00092FCA">
        <w:rPr>
          <w:color w:val="000000"/>
        </w:rPr>
        <w:t>10</w:t>
      </w:r>
      <w:r w:rsidRPr="00462AD0">
        <w:rPr>
          <w:color w:val="000000"/>
        </w:rPr>
        <w:t xml:space="preserve"> pts</w:t>
      </w:r>
      <w:r w:rsidR="0071205D" w:rsidRPr="00462AD0">
        <w:rPr>
          <w:color w:val="000000"/>
        </w:rPr>
        <w:t xml:space="preserve"> should be used through</w:t>
      </w:r>
      <w:r w:rsidR="003D63D1" w:rsidRPr="00462AD0">
        <w:rPr>
          <w:color w:val="000000"/>
        </w:rPr>
        <w:t>out the whole</w:t>
      </w:r>
      <w:r w:rsidR="0071205D" w:rsidRPr="00462AD0">
        <w:rPr>
          <w:color w:val="000000"/>
        </w:rPr>
        <w:t xml:space="preserve"> text (</w:t>
      </w:r>
      <w:r w:rsidR="0071205D" w:rsidRPr="00462AD0">
        <w:rPr>
          <w:b/>
          <w:color w:val="000000"/>
        </w:rPr>
        <w:t>also for the line spaces</w:t>
      </w:r>
      <w:r w:rsidR="0071205D" w:rsidRPr="00462AD0">
        <w:rPr>
          <w:color w:val="000000"/>
        </w:rPr>
        <w:t>). There should not be any underlined words</w:t>
      </w:r>
      <w:r w:rsidR="003D63D1" w:rsidRPr="00462AD0">
        <w:rPr>
          <w:color w:val="000000"/>
        </w:rPr>
        <w:t>. S</w:t>
      </w:r>
      <w:r w:rsidR="0071205D" w:rsidRPr="00462AD0">
        <w:rPr>
          <w:color w:val="000000"/>
        </w:rPr>
        <w:t>pacing in the first page must b</w:t>
      </w:r>
      <w:r w:rsidR="0096604C" w:rsidRPr="00462AD0">
        <w:rPr>
          <w:color w:val="000000"/>
        </w:rPr>
        <w:t>e adjusted as</w:t>
      </w:r>
      <w:r w:rsidR="003D63D1" w:rsidRPr="00462AD0">
        <w:rPr>
          <w:color w:val="000000"/>
        </w:rPr>
        <w:t xml:space="preserve"> follows</w:t>
      </w:r>
      <w:r w:rsidR="0096604C" w:rsidRPr="00462AD0">
        <w:rPr>
          <w:color w:val="000000"/>
        </w:rPr>
        <w:t>:</w:t>
      </w:r>
      <w:r w:rsidR="0071205D" w:rsidRPr="00462AD0">
        <w:rPr>
          <w:color w:val="000000"/>
        </w:rPr>
        <w:t xml:space="preserve"> </w:t>
      </w:r>
      <w:r w:rsidR="00343F16" w:rsidRPr="00462AD0">
        <w:rPr>
          <w:color w:val="000000"/>
        </w:rPr>
        <w:t xml:space="preserve">starting from the first line, enter </w:t>
      </w:r>
      <w:r w:rsidR="00092FCA">
        <w:rPr>
          <w:color w:val="000000"/>
        </w:rPr>
        <w:t>5</w:t>
      </w:r>
      <w:r w:rsidR="00343F16" w:rsidRPr="00462AD0">
        <w:rPr>
          <w:color w:val="000000"/>
        </w:rPr>
        <w:t xml:space="preserve"> space</w:t>
      </w:r>
      <w:r w:rsidR="000C32FF" w:rsidRPr="00462AD0">
        <w:rPr>
          <w:color w:val="000000"/>
        </w:rPr>
        <w:t>s</w:t>
      </w:r>
      <w:r w:rsidR="00343F16" w:rsidRPr="00462AD0">
        <w:rPr>
          <w:color w:val="000000"/>
        </w:rPr>
        <w:t xml:space="preserve"> and </w:t>
      </w:r>
      <w:r w:rsidR="003D63D1" w:rsidRPr="00462AD0">
        <w:rPr>
          <w:color w:val="000000"/>
        </w:rPr>
        <w:t>write the title of the paper (1</w:t>
      </w:r>
      <w:r w:rsidR="00092FCA">
        <w:rPr>
          <w:color w:val="000000"/>
        </w:rPr>
        <w:t>6</w:t>
      </w:r>
      <w:r w:rsidR="00343F16" w:rsidRPr="00462AD0">
        <w:rPr>
          <w:color w:val="000000"/>
        </w:rPr>
        <w:t xml:space="preserve"> pts, Bold), enter 3 space</w:t>
      </w:r>
      <w:r w:rsidR="000C32FF" w:rsidRPr="00462AD0">
        <w:rPr>
          <w:color w:val="000000"/>
        </w:rPr>
        <w:t>s</w:t>
      </w:r>
      <w:r w:rsidR="00343F16" w:rsidRPr="00462AD0">
        <w:rPr>
          <w:color w:val="000000"/>
        </w:rPr>
        <w:t xml:space="preserve"> and write name and surname of the authors as shown above (1</w:t>
      </w:r>
      <w:r w:rsidR="00092FCA">
        <w:rPr>
          <w:color w:val="000000"/>
        </w:rPr>
        <w:t>2</w:t>
      </w:r>
      <w:r w:rsidR="00343F16" w:rsidRPr="00462AD0">
        <w:rPr>
          <w:color w:val="000000"/>
        </w:rPr>
        <w:t xml:space="preserve"> pts, Bold), enter </w:t>
      </w:r>
      <w:r w:rsidR="0096604C" w:rsidRPr="00462AD0">
        <w:rPr>
          <w:color w:val="000000"/>
        </w:rPr>
        <w:t>1</w:t>
      </w:r>
      <w:r w:rsidR="00343F16" w:rsidRPr="00462AD0">
        <w:rPr>
          <w:color w:val="000000"/>
        </w:rPr>
        <w:t xml:space="preserve"> space and write the affiliation of each author to a separate line</w:t>
      </w:r>
      <w:r w:rsidR="003D63D1" w:rsidRPr="00462AD0">
        <w:rPr>
          <w:color w:val="000000"/>
        </w:rPr>
        <w:t xml:space="preserve"> (</w:t>
      </w:r>
      <w:r w:rsidR="00092FCA">
        <w:rPr>
          <w:color w:val="000000"/>
        </w:rPr>
        <w:t>10</w:t>
      </w:r>
      <w:r w:rsidR="008D2D8E" w:rsidRPr="00462AD0">
        <w:rPr>
          <w:color w:val="000000"/>
        </w:rPr>
        <w:t xml:space="preserve"> pts)</w:t>
      </w:r>
      <w:r w:rsidR="00343F16" w:rsidRPr="00462AD0">
        <w:rPr>
          <w:color w:val="000000"/>
        </w:rPr>
        <w:t xml:space="preserve">, </w:t>
      </w:r>
      <w:r w:rsidR="0096604C" w:rsidRPr="00462AD0">
        <w:rPr>
          <w:color w:val="000000"/>
        </w:rPr>
        <w:t>enter 3</w:t>
      </w:r>
      <w:r w:rsidR="008D2D8E" w:rsidRPr="00462AD0">
        <w:rPr>
          <w:color w:val="000000"/>
        </w:rPr>
        <w:t xml:space="preserve"> space</w:t>
      </w:r>
      <w:r w:rsidR="000C32FF" w:rsidRPr="00462AD0">
        <w:rPr>
          <w:color w:val="000000"/>
        </w:rPr>
        <w:t>s</w:t>
      </w:r>
      <w:r w:rsidR="008D2D8E" w:rsidRPr="00462AD0">
        <w:rPr>
          <w:color w:val="000000"/>
        </w:rPr>
        <w:t xml:space="preserve"> and write </w:t>
      </w:r>
      <w:r w:rsidR="002221C0" w:rsidRPr="00462AD0">
        <w:rPr>
          <w:color w:val="000000"/>
        </w:rPr>
        <w:t xml:space="preserve">the </w:t>
      </w:r>
      <w:r w:rsidR="008D2D8E" w:rsidRPr="00462AD0">
        <w:rPr>
          <w:color w:val="000000"/>
        </w:rPr>
        <w:t xml:space="preserve">title </w:t>
      </w:r>
      <w:r w:rsidR="002221C0" w:rsidRPr="00462AD0">
        <w:rPr>
          <w:color w:val="000000"/>
        </w:rPr>
        <w:t>“</w:t>
      </w:r>
      <w:r w:rsidR="008D2D8E" w:rsidRPr="00092FCA">
        <w:rPr>
          <w:i/>
          <w:color w:val="000000"/>
        </w:rPr>
        <w:t>abstract</w:t>
      </w:r>
      <w:r w:rsidR="002221C0" w:rsidRPr="00462AD0">
        <w:rPr>
          <w:color w:val="000000"/>
        </w:rPr>
        <w:t>”</w:t>
      </w:r>
      <w:r w:rsidR="003D63D1" w:rsidRPr="00462AD0">
        <w:rPr>
          <w:color w:val="000000"/>
        </w:rPr>
        <w:t xml:space="preserve"> (</w:t>
      </w:r>
      <w:r w:rsidR="00092FCA">
        <w:rPr>
          <w:color w:val="000000"/>
        </w:rPr>
        <w:t xml:space="preserve">12 </w:t>
      </w:r>
      <w:r w:rsidR="003D63D1" w:rsidRPr="00462AD0">
        <w:rPr>
          <w:color w:val="000000"/>
        </w:rPr>
        <w:t>pts, Bold)</w:t>
      </w:r>
      <w:r w:rsidR="00F25888" w:rsidRPr="00462AD0">
        <w:rPr>
          <w:color w:val="000000"/>
        </w:rPr>
        <w:t>.</w:t>
      </w:r>
      <w:r w:rsidR="00513ADA" w:rsidRPr="00462AD0">
        <w:rPr>
          <w:color w:val="000000"/>
        </w:rPr>
        <w:t xml:space="preserve"> </w:t>
      </w:r>
      <w:r w:rsidR="00F25888" w:rsidRPr="00462AD0">
        <w:rPr>
          <w:color w:val="000000"/>
        </w:rPr>
        <w:t>E</w:t>
      </w:r>
      <w:r w:rsidR="00513ADA" w:rsidRPr="00462AD0">
        <w:rPr>
          <w:color w:val="000000"/>
        </w:rPr>
        <w:t>nter 1 space</w:t>
      </w:r>
      <w:r w:rsidR="00F25888" w:rsidRPr="00462AD0">
        <w:rPr>
          <w:color w:val="000000"/>
        </w:rPr>
        <w:t xml:space="preserve"> after the title</w:t>
      </w:r>
      <w:r w:rsidR="00513ADA" w:rsidRPr="00462AD0">
        <w:rPr>
          <w:color w:val="000000"/>
        </w:rPr>
        <w:t>.</w:t>
      </w:r>
      <w:r w:rsidR="003D63D1" w:rsidRPr="00462AD0">
        <w:rPr>
          <w:color w:val="000000"/>
        </w:rPr>
        <w:t xml:space="preserve"> At the end of the abstract, </w:t>
      </w:r>
      <w:r w:rsidR="008D2D8E" w:rsidRPr="00462AD0">
        <w:rPr>
          <w:color w:val="000000"/>
        </w:rPr>
        <w:t xml:space="preserve">enter 1 space and write </w:t>
      </w:r>
      <w:r w:rsidR="002221C0" w:rsidRPr="00462AD0">
        <w:rPr>
          <w:color w:val="000000"/>
        </w:rPr>
        <w:t>the title “</w:t>
      </w:r>
      <w:r w:rsidR="008D2D8E" w:rsidRPr="00462AD0">
        <w:rPr>
          <w:i/>
          <w:color w:val="000000"/>
        </w:rPr>
        <w:t>keywords</w:t>
      </w:r>
      <w:r w:rsidR="002221C0" w:rsidRPr="00462AD0">
        <w:rPr>
          <w:color w:val="000000"/>
        </w:rPr>
        <w:t>”</w:t>
      </w:r>
      <w:r w:rsidR="003D63D1" w:rsidRPr="00462AD0">
        <w:rPr>
          <w:color w:val="000000"/>
        </w:rPr>
        <w:t xml:space="preserve"> (</w:t>
      </w:r>
      <w:r w:rsidR="00092FCA">
        <w:rPr>
          <w:color w:val="000000"/>
        </w:rPr>
        <w:t>10</w:t>
      </w:r>
      <w:r w:rsidR="008D2D8E" w:rsidRPr="00462AD0">
        <w:rPr>
          <w:color w:val="000000"/>
        </w:rPr>
        <w:t xml:space="preserve"> pts, Bold, Italic, include </w:t>
      </w:r>
      <w:r w:rsidR="000C32FF" w:rsidRPr="00462AD0">
        <w:rPr>
          <w:color w:val="000000"/>
        </w:rPr>
        <w:t>maximum</w:t>
      </w:r>
      <w:r w:rsidR="008D2D8E" w:rsidRPr="00462AD0">
        <w:rPr>
          <w:color w:val="000000"/>
        </w:rPr>
        <w:t xml:space="preserve"> 5 keywords)</w:t>
      </w:r>
      <w:r w:rsidR="002221C0" w:rsidRPr="00462AD0">
        <w:rPr>
          <w:color w:val="000000"/>
        </w:rPr>
        <w:t>, enter 2 space</w:t>
      </w:r>
      <w:r w:rsidR="000C32FF" w:rsidRPr="00462AD0">
        <w:rPr>
          <w:color w:val="000000"/>
        </w:rPr>
        <w:t>s</w:t>
      </w:r>
      <w:r w:rsidR="002221C0" w:rsidRPr="00462AD0">
        <w:rPr>
          <w:color w:val="000000"/>
        </w:rPr>
        <w:t xml:space="preserve"> and write the first section </w:t>
      </w:r>
      <w:r w:rsidR="00D6576D" w:rsidRPr="00462AD0">
        <w:rPr>
          <w:color w:val="000000"/>
        </w:rPr>
        <w:t>heading</w:t>
      </w:r>
      <w:r w:rsidR="002221C0" w:rsidRPr="00462AD0">
        <w:rPr>
          <w:color w:val="000000"/>
        </w:rPr>
        <w:t xml:space="preserve"> “</w:t>
      </w:r>
      <w:r w:rsidR="002221C0" w:rsidRPr="00462AD0">
        <w:rPr>
          <w:i/>
          <w:color w:val="000000"/>
        </w:rPr>
        <w:t>introduction</w:t>
      </w:r>
      <w:r w:rsidR="002221C0" w:rsidRPr="00462AD0">
        <w:rPr>
          <w:color w:val="000000"/>
        </w:rPr>
        <w:t>”</w:t>
      </w:r>
      <w:r w:rsidR="00D80793" w:rsidRPr="00462AD0">
        <w:rPr>
          <w:color w:val="000000"/>
        </w:rPr>
        <w:t xml:space="preserve">. </w:t>
      </w:r>
      <w:r w:rsidR="003C5FC2" w:rsidRPr="00462AD0">
        <w:rPr>
          <w:color w:val="000000"/>
        </w:rPr>
        <w:t xml:space="preserve">The maximum length of manuscript is </w:t>
      </w:r>
      <w:r w:rsidR="000B1B65">
        <w:rPr>
          <w:color w:val="000000"/>
        </w:rPr>
        <w:t>8</w:t>
      </w:r>
      <w:r w:rsidR="003C5FC2" w:rsidRPr="00462AD0">
        <w:rPr>
          <w:color w:val="000000"/>
        </w:rPr>
        <w:t xml:space="preserve"> pages including figures and tables. </w:t>
      </w:r>
      <w:r w:rsidR="00D80793" w:rsidRPr="00462AD0">
        <w:rPr>
          <w:color w:val="000000"/>
        </w:rPr>
        <w:t>Information on numbering and format for headings are given in the next section.</w:t>
      </w:r>
    </w:p>
    <w:p w:rsidR="0096604C" w:rsidRPr="00462AD0" w:rsidRDefault="0096604C" w:rsidP="0095294F">
      <w:pPr>
        <w:jc w:val="both"/>
        <w:rPr>
          <w:color w:val="000000"/>
        </w:rPr>
      </w:pPr>
    </w:p>
    <w:p w:rsidR="000C32FF" w:rsidRPr="00462AD0" w:rsidRDefault="00A657B2" w:rsidP="00EA1619">
      <w:pPr>
        <w:jc w:val="both"/>
        <w:rPr>
          <w:color w:val="000000"/>
        </w:rPr>
      </w:pPr>
      <w:r w:rsidRPr="00462AD0">
        <w:rPr>
          <w:color w:val="000000"/>
        </w:rPr>
        <w:t>S</w:t>
      </w:r>
      <w:r w:rsidR="000C32FF" w:rsidRPr="00462AD0">
        <w:rPr>
          <w:color w:val="000000"/>
        </w:rPr>
        <w:t>I (international system</w:t>
      </w:r>
      <w:r w:rsidRPr="00462AD0">
        <w:rPr>
          <w:color w:val="000000"/>
        </w:rPr>
        <w:t>)</w:t>
      </w:r>
      <w:r w:rsidR="000C32FF" w:rsidRPr="00462AD0">
        <w:rPr>
          <w:color w:val="000000"/>
        </w:rPr>
        <w:t xml:space="preserve"> units must be used </w:t>
      </w:r>
      <w:r w:rsidRPr="00462AD0">
        <w:rPr>
          <w:color w:val="000000"/>
        </w:rPr>
        <w:t>through</w:t>
      </w:r>
      <w:r w:rsidR="000C32FF" w:rsidRPr="00462AD0">
        <w:rPr>
          <w:color w:val="000000"/>
        </w:rPr>
        <w:t>out</w:t>
      </w:r>
      <w:r w:rsidRPr="00462AD0">
        <w:rPr>
          <w:color w:val="000000"/>
        </w:rPr>
        <w:t xml:space="preserve"> the whole text.</w:t>
      </w:r>
    </w:p>
    <w:p w:rsidR="00D92AC8" w:rsidRPr="00462AD0" w:rsidRDefault="00D92AC8" w:rsidP="00EA1619">
      <w:pPr>
        <w:jc w:val="both"/>
        <w:rPr>
          <w:color w:val="000000"/>
        </w:rPr>
      </w:pPr>
    </w:p>
    <w:p w:rsidR="002E2BCD" w:rsidRPr="00462AD0" w:rsidRDefault="002E2BCD" w:rsidP="00EA1619">
      <w:pPr>
        <w:jc w:val="both"/>
        <w:rPr>
          <w:color w:val="000000"/>
        </w:rPr>
      </w:pPr>
    </w:p>
    <w:p w:rsidR="00B372AD" w:rsidRPr="00646C18" w:rsidRDefault="00F25888" w:rsidP="00EA1619">
      <w:pPr>
        <w:jc w:val="both"/>
        <w:rPr>
          <w:b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>3</w:t>
      </w:r>
      <w:r w:rsidR="003C5FC2" w:rsidRPr="00646C18">
        <w:rPr>
          <w:b/>
          <w:color w:val="000000"/>
          <w:sz w:val="24"/>
          <w:szCs w:val="24"/>
        </w:rPr>
        <w:t xml:space="preserve"> </w:t>
      </w:r>
      <w:r w:rsidR="00276C76" w:rsidRPr="00646C18">
        <w:rPr>
          <w:b/>
          <w:color w:val="000000"/>
          <w:sz w:val="24"/>
          <w:szCs w:val="24"/>
        </w:rPr>
        <w:t>Section Headings</w:t>
      </w:r>
    </w:p>
    <w:p w:rsidR="008A22C1" w:rsidRPr="00462AD0" w:rsidRDefault="008A22C1" w:rsidP="002E231C">
      <w:pPr>
        <w:jc w:val="both"/>
        <w:rPr>
          <w:color w:val="000000"/>
        </w:rPr>
      </w:pPr>
    </w:p>
    <w:p w:rsidR="005D3055" w:rsidRPr="00462AD0" w:rsidRDefault="00092FCA" w:rsidP="002E231C">
      <w:pPr>
        <w:jc w:val="both"/>
        <w:rPr>
          <w:color w:val="000000"/>
        </w:rPr>
      </w:pPr>
      <w:r>
        <w:rPr>
          <w:color w:val="000000"/>
        </w:rPr>
        <w:t>Type each section heading in 12</w:t>
      </w:r>
      <w:r w:rsidR="002E2BCD" w:rsidRPr="00462AD0">
        <w:rPr>
          <w:color w:val="000000"/>
        </w:rPr>
        <w:t xml:space="preserve"> pts, and number sequentially except for the References section. Enter 1</w:t>
      </w:r>
      <w:r w:rsidR="00C46305" w:rsidRPr="00462AD0">
        <w:rPr>
          <w:color w:val="000000"/>
        </w:rPr>
        <w:t xml:space="preserve"> line space after section titles. </w:t>
      </w:r>
      <w:r w:rsidR="000C32FF" w:rsidRPr="00462AD0">
        <w:rPr>
          <w:color w:val="000000"/>
        </w:rPr>
        <w:t>Enter 2</w:t>
      </w:r>
      <w:r w:rsidR="008C0A8F" w:rsidRPr="00462AD0">
        <w:rPr>
          <w:b/>
          <w:color w:val="000000"/>
        </w:rPr>
        <w:t xml:space="preserve"> </w:t>
      </w:r>
      <w:r w:rsidR="00C46305" w:rsidRPr="00462AD0">
        <w:rPr>
          <w:color w:val="000000"/>
        </w:rPr>
        <w:t>line space</w:t>
      </w:r>
      <w:r w:rsidR="00B372AD" w:rsidRPr="00462AD0">
        <w:rPr>
          <w:color w:val="000000"/>
        </w:rPr>
        <w:t>s</w:t>
      </w:r>
      <w:r w:rsidR="00C46305" w:rsidRPr="00462AD0">
        <w:rPr>
          <w:color w:val="000000"/>
        </w:rPr>
        <w:t xml:space="preserve"> </w:t>
      </w:r>
      <w:r w:rsidR="000C32FF" w:rsidRPr="00462AD0">
        <w:rPr>
          <w:color w:val="000000"/>
        </w:rPr>
        <w:t>between</w:t>
      </w:r>
      <w:r w:rsidR="00C46305" w:rsidRPr="00462AD0">
        <w:rPr>
          <w:color w:val="000000"/>
        </w:rPr>
        <w:t xml:space="preserve"> section titles </w:t>
      </w:r>
      <w:r w:rsidR="008C0A8F" w:rsidRPr="00462AD0">
        <w:rPr>
          <w:color w:val="000000"/>
        </w:rPr>
        <w:t xml:space="preserve">and </w:t>
      </w:r>
      <w:r w:rsidR="00C46305" w:rsidRPr="00462AD0">
        <w:rPr>
          <w:color w:val="000000"/>
        </w:rPr>
        <w:t>each paragraph within the body text</w:t>
      </w:r>
      <w:r w:rsidR="0050723D" w:rsidRPr="00462AD0">
        <w:rPr>
          <w:color w:val="000000"/>
        </w:rPr>
        <w:t>.</w:t>
      </w:r>
    </w:p>
    <w:p w:rsidR="00B372AD" w:rsidRPr="00462AD0" w:rsidRDefault="00B372AD" w:rsidP="002E231C">
      <w:pPr>
        <w:jc w:val="both"/>
        <w:rPr>
          <w:color w:val="000000"/>
        </w:rPr>
      </w:pPr>
    </w:p>
    <w:p w:rsidR="001C3123" w:rsidRPr="00462AD0" w:rsidRDefault="001C3123" w:rsidP="002E231C">
      <w:pPr>
        <w:jc w:val="both"/>
        <w:rPr>
          <w:color w:val="000000"/>
        </w:rPr>
      </w:pPr>
    </w:p>
    <w:p w:rsidR="00B372AD" w:rsidRPr="00646C18" w:rsidRDefault="00F25888" w:rsidP="002E231C">
      <w:pPr>
        <w:jc w:val="both"/>
        <w:rPr>
          <w:b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>3</w:t>
      </w:r>
      <w:r w:rsidR="0050723D" w:rsidRPr="00646C18">
        <w:rPr>
          <w:b/>
          <w:color w:val="000000"/>
          <w:sz w:val="24"/>
          <w:szCs w:val="24"/>
        </w:rPr>
        <w:t>.</w:t>
      </w:r>
      <w:r w:rsidRPr="00646C18">
        <w:rPr>
          <w:b/>
          <w:color w:val="000000"/>
          <w:sz w:val="24"/>
          <w:szCs w:val="24"/>
        </w:rPr>
        <w:t>1</w:t>
      </w:r>
      <w:r w:rsidR="0050723D" w:rsidRPr="00646C18">
        <w:rPr>
          <w:b/>
          <w:color w:val="000000"/>
          <w:sz w:val="24"/>
          <w:szCs w:val="24"/>
        </w:rPr>
        <w:t xml:space="preserve"> Format for Subsection Headings</w:t>
      </w:r>
    </w:p>
    <w:p w:rsidR="0090440C" w:rsidRPr="00462AD0" w:rsidRDefault="0090440C" w:rsidP="002E231C">
      <w:pPr>
        <w:jc w:val="both"/>
        <w:rPr>
          <w:color w:val="000000"/>
        </w:rPr>
      </w:pPr>
    </w:p>
    <w:p w:rsidR="0050723D" w:rsidRPr="00462AD0" w:rsidRDefault="00F25888" w:rsidP="002E231C">
      <w:pPr>
        <w:jc w:val="both"/>
        <w:rPr>
          <w:color w:val="000000"/>
        </w:rPr>
      </w:pPr>
      <w:r w:rsidRPr="00462AD0">
        <w:rPr>
          <w:color w:val="000000"/>
        </w:rPr>
        <w:t>First s</w:t>
      </w:r>
      <w:r w:rsidR="00B372AD" w:rsidRPr="00462AD0">
        <w:rPr>
          <w:color w:val="000000"/>
        </w:rPr>
        <w:t xml:space="preserve">ubsection heading </w:t>
      </w:r>
      <w:r w:rsidR="0050723D" w:rsidRPr="00462AD0">
        <w:rPr>
          <w:color w:val="000000"/>
        </w:rPr>
        <w:t>should be formatted wi</w:t>
      </w:r>
      <w:r w:rsidR="002E2BCD" w:rsidRPr="00462AD0">
        <w:rPr>
          <w:color w:val="000000"/>
        </w:rPr>
        <w:t xml:space="preserve">th </w:t>
      </w:r>
      <w:r w:rsidR="00092FCA">
        <w:rPr>
          <w:color w:val="000000"/>
        </w:rPr>
        <w:t>12</w:t>
      </w:r>
      <w:r w:rsidR="00B372AD" w:rsidRPr="00462AD0">
        <w:rPr>
          <w:color w:val="000000"/>
        </w:rPr>
        <w:t xml:space="preserve"> pts font size and </w:t>
      </w:r>
      <w:r w:rsidRPr="00462AD0">
        <w:rPr>
          <w:color w:val="000000"/>
        </w:rPr>
        <w:t>bold</w:t>
      </w:r>
      <w:r w:rsidR="0050723D" w:rsidRPr="00462AD0">
        <w:rPr>
          <w:color w:val="000000"/>
        </w:rPr>
        <w:t xml:space="preserve"> style.</w:t>
      </w:r>
      <w:r w:rsidR="002E2BCD" w:rsidRPr="00462AD0">
        <w:rPr>
          <w:color w:val="000000"/>
        </w:rPr>
        <w:t xml:space="preserve"> Enter 1 line space after </w:t>
      </w:r>
      <w:r w:rsidRPr="00462AD0">
        <w:rPr>
          <w:color w:val="000000"/>
        </w:rPr>
        <w:t xml:space="preserve">these </w:t>
      </w:r>
      <w:r w:rsidR="002E2BCD" w:rsidRPr="00462AD0">
        <w:rPr>
          <w:color w:val="000000"/>
        </w:rPr>
        <w:t xml:space="preserve">headings and 2 lines between subsection heading and </w:t>
      </w:r>
      <w:r w:rsidRPr="00462AD0">
        <w:rPr>
          <w:color w:val="000000"/>
        </w:rPr>
        <w:t>each paragraph within the body text.</w:t>
      </w:r>
    </w:p>
    <w:p w:rsidR="0050723D" w:rsidRPr="00462AD0" w:rsidRDefault="0050723D" w:rsidP="002E231C">
      <w:pPr>
        <w:jc w:val="both"/>
        <w:rPr>
          <w:color w:val="000000"/>
        </w:rPr>
      </w:pPr>
    </w:p>
    <w:p w:rsidR="00313125" w:rsidRPr="00462AD0" w:rsidRDefault="00313125" w:rsidP="002E231C">
      <w:pPr>
        <w:jc w:val="both"/>
        <w:rPr>
          <w:color w:val="000000"/>
        </w:rPr>
      </w:pPr>
    </w:p>
    <w:p w:rsidR="00313125" w:rsidRPr="00646C18" w:rsidRDefault="00313125" w:rsidP="00313125">
      <w:pPr>
        <w:jc w:val="both"/>
        <w:rPr>
          <w:i/>
          <w:color w:val="000000"/>
          <w:sz w:val="22"/>
          <w:szCs w:val="22"/>
        </w:rPr>
      </w:pPr>
      <w:r w:rsidRPr="00646C18">
        <w:rPr>
          <w:i/>
          <w:color w:val="000000"/>
          <w:sz w:val="22"/>
          <w:szCs w:val="22"/>
        </w:rPr>
        <w:t>3.1.1 Format for Subsection Headings</w:t>
      </w:r>
    </w:p>
    <w:p w:rsidR="00313125" w:rsidRPr="00462AD0" w:rsidRDefault="00313125" w:rsidP="00313125">
      <w:pPr>
        <w:jc w:val="both"/>
        <w:rPr>
          <w:color w:val="000000"/>
        </w:rPr>
      </w:pPr>
    </w:p>
    <w:p w:rsidR="00313125" w:rsidRPr="00462AD0" w:rsidRDefault="00313125" w:rsidP="00313125">
      <w:pPr>
        <w:jc w:val="both"/>
        <w:rPr>
          <w:color w:val="000000"/>
        </w:rPr>
      </w:pPr>
      <w:r w:rsidRPr="00462AD0">
        <w:rPr>
          <w:color w:val="000000"/>
        </w:rPr>
        <w:t xml:space="preserve">Other subsection headings should be formatted with </w:t>
      </w:r>
      <w:r w:rsidR="00092FCA">
        <w:rPr>
          <w:color w:val="000000"/>
        </w:rPr>
        <w:t>11</w:t>
      </w:r>
      <w:r w:rsidRPr="00462AD0">
        <w:rPr>
          <w:color w:val="000000"/>
        </w:rPr>
        <w:t xml:space="preserve"> pts font size and italic style. Enter 1 line space after these headings and 2 lines between subsection heading and each paragraph within the body text.</w:t>
      </w:r>
    </w:p>
    <w:p w:rsidR="002E2BCD" w:rsidRPr="00462AD0" w:rsidRDefault="002E2BCD" w:rsidP="002E231C">
      <w:pPr>
        <w:jc w:val="both"/>
        <w:rPr>
          <w:color w:val="000000"/>
        </w:rPr>
      </w:pPr>
    </w:p>
    <w:p w:rsidR="00D03DC6" w:rsidRPr="00462AD0" w:rsidRDefault="00D03DC6" w:rsidP="002E231C">
      <w:pPr>
        <w:jc w:val="both"/>
        <w:rPr>
          <w:color w:val="000000"/>
        </w:rPr>
      </w:pPr>
    </w:p>
    <w:p w:rsidR="00E36851" w:rsidRPr="00646C18" w:rsidRDefault="00F25888" w:rsidP="00E36851">
      <w:pPr>
        <w:jc w:val="both"/>
        <w:rPr>
          <w:b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>4</w:t>
      </w:r>
      <w:r w:rsidR="00E36851" w:rsidRPr="00646C18">
        <w:rPr>
          <w:b/>
          <w:color w:val="000000"/>
          <w:sz w:val="24"/>
          <w:szCs w:val="24"/>
        </w:rPr>
        <w:t xml:space="preserve"> Tables and Figures</w:t>
      </w:r>
    </w:p>
    <w:p w:rsidR="008A22C1" w:rsidRPr="00462AD0" w:rsidRDefault="008A22C1" w:rsidP="002E231C">
      <w:pPr>
        <w:jc w:val="both"/>
        <w:rPr>
          <w:color w:val="000000"/>
        </w:rPr>
      </w:pPr>
    </w:p>
    <w:p w:rsidR="002E231C" w:rsidRPr="00462AD0" w:rsidRDefault="002E231C" w:rsidP="002E231C">
      <w:pPr>
        <w:jc w:val="both"/>
        <w:rPr>
          <w:color w:val="000000"/>
        </w:rPr>
      </w:pPr>
      <w:r w:rsidRPr="00462AD0">
        <w:rPr>
          <w:color w:val="000000"/>
        </w:rPr>
        <w:t xml:space="preserve">Use </w:t>
      </w:r>
      <w:r w:rsidR="00B372AD" w:rsidRPr="00462AD0">
        <w:rPr>
          <w:color w:val="000000"/>
        </w:rPr>
        <w:t xml:space="preserve">the </w:t>
      </w:r>
      <w:r w:rsidRPr="00462AD0">
        <w:rPr>
          <w:color w:val="000000"/>
        </w:rPr>
        <w:t>same format for plain text in table</w:t>
      </w:r>
      <w:r w:rsidR="00EF186D" w:rsidRPr="00462AD0">
        <w:rPr>
          <w:color w:val="000000"/>
        </w:rPr>
        <w:t xml:space="preserve"> and figure captions. T</w:t>
      </w:r>
      <w:r w:rsidR="006447EF" w:rsidRPr="00462AD0">
        <w:rPr>
          <w:color w:val="000000"/>
        </w:rPr>
        <w:t>he</w:t>
      </w:r>
      <w:r w:rsidRPr="00462AD0">
        <w:rPr>
          <w:color w:val="000000"/>
        </w:rPr>
        <w:t xml:space="preserve"> labeling</w:t>
      </w:r>
      <w:r w:rsidR="006447EF" w:rsidRPr="00462AD0">
        <w:rPr>
          <w:color w:val="000000"/>
        </w:rPr>
        <w:t xml:space="preserve"> and numbering</w:t>
      </w:r>
      <w:r w:rsidRPr="00462AD0">
        <w:rPr>
          <w:color w:val="000000"/>
        </w:rPr>
        <w:t xml:space="preserve"> must</w:t>
      </w:r>
      <w:r w:rsidR="006447EF" w:rsidRPr="00462AD0">
        <w:rPr>
          <w:color w:val="000000"/>
        </w:rPr>
        <w:t xml:space="preserve"> be written in bold characters. </w:t>
      </w:r>
      <w:r w:rsidRPr="00462AD0">
        <w:rPr>
          <w:color w:val="000000"/>
        </w:rPr>
        <w:t>Table and figure captions must be</w:t>
      </w:r>
      <w:r w:rsidR="006447EF" w:rsidRPr="00462AD0">
        <w:rPr>
          <w:color w:val="000000"/>
        </w:rPr>
        <w:t xml:space="preserve"> centered and</w:t>
      </w:r>
      <w:r w:rsidRPr="00462AD0">
        <w:rPr>
          <w:color w:val="000000"/>
        </w:rPr>
        <w:t xml:space="preserve"> separated from the plain text with 1 line space. Tables and figures must also be separated by 1 line space from both the plain text and their captions. Both tables and figures should be adjusted to</w:t>
      </w:r>
      <w:r w:rsidR="00F15AA0" w:rsidRPr="00462AD0">
        <w:rPr>
          <w:color w:val="000000"/>
        </w:rPr>
        <w:t xml:space="preserve"> “in-line text” format and</w:t>
      </w:r>
      <w:r w:rsidRPr="00462AD0">
        <w:rPr>
          <w:color w:val="000000"/>
        </w:rPr>
        <w:t xml:space="preserve"> must be </w:t>
      </w:r>
      <w:r w:rsidR="00E36851" w:rsidRPr="00462AD0">
        <w:rPr>
          <w:color w:val="000000"/>
        </w:rPr>
        <w:t>formatted</w:t>
      </w:r>
      <w:r w:rsidRPr="00462AD0">
        <w:rPr>
          <w:color w:val="000000"/>
        </w:rPr>
        <w:t xml:space="preserve"> to sit horizontally centered</w:t>
      </w:r>
      <w:r w:rsidR="00F80963" w:rsidRPr="00462AD0">
        <w:rPr>
          <w:color w:val="000000"/>
        </w:rPr>
        <w:t xml:space="preserve"> (please see Table 1 and Figure 1)</w:t>
      </w:r>
      <w:r w:rsidRPr="00462AD0">
        <w:rPr>
          <w:color w:val="000000"/>
        </w:rPr>
        <w:t>.</w:t>
      </w:r>
    </w:p>
    <w:p w:rsidR="00AD0F44" w:rsidRPr="00462AD0" w:rsidRDefault="00AD0F44" w:rsidP="00D03DC6">
      <w:pPr>
        <w:jc w:val="both"/>
        <w:rPr>
          <w:color w:val="000000"/>
        </w:rPr>
      </w:pPr>
    </w:p>
    <w:p w:rsidR="006E2EB0" w:rsidRPr="00462AD0" w:rsidRDefault="006E2EB0" w:rsidP="006E2EB0">
      <w:pPr>
        <w:jc w:val="center"/>
        <w:rPr>
          <w:color w:val="000000"/>
        </w:rPr>
      </w:pPr>
      <w:proofErr w:type="gramStart"/>
      <w:r w:rsidRPr="00462AD0">
        <w:rPr>
          <w:b/>
          <w:color w:val="000000"/>
        </w:rPr>
        <w:t>Table 1.</w:t>
      </w:r>
      <w:proofErr w:type="gramEnd"/>
      <w:r w:rsidRPr="00462AD0">
        <w:rPr>
          <w:b/>
          <w:color w:val="000000"/>
        </w:rPr>
        <w:t xml:space="preserve"> </w:t>
      </w:r>
      <w:r>
        <w:rPr>
          <w:color w:val="000000"/>
        </w:rPr>
        <w:t>Fit indices for the model</w:t>
      </w:r>
      <w:r w:rsidRPr="00462AD0">
        <w:rPr>
          <w:color w:val="000000"/>
        </w:rPr>
        <w:t>.</w:t>
      </w:r>
    </w:p>
    <w:p w:rsidR="006E2EB0" w:rsidRPr="00462AD0" w:rsidRDefault="006E2EB0" w:rsidP="006E2EB0">
      <w:pPr>
        <w:rPr>
          <w:color w:val="000000"/>
        </w:rPr>
      </w:pPr>
    </w:p>
    <w:tbl>
      <w:tblPr>
        <w:tblW w:w="4252" w:type="dxa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944"/>
        <w:gridCol w:w="1654"/>
        <w:gridCol w:w="1654"/>
      </w:tblGrid>
      <w:tr w:rsidR="006E2EB0" w:rsidRPr="00462AD0" w:rsidTr="003A7418">
        <w:trPr>
          <w:trHeight w:val="38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2EB0" w:rsidRPr="009C1BCD" w:rsidRDefault="006E2EB0" w:rsidP="003A7418">
            <w:pPr>
              <w:jc w:val="center"/>
              <w:rPr>
                <w:b/>
              </w:rPr>
            </w:pPr>
            <w:r w:rsidRPr="009C1BCD">
              <w:rPr>
                <w:b/>
              </w:rPr>
              <w:t>Index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2EB0" w:rsidRPr="009C1BCD" w:rsidRDefault="006E2EB0" w:rsidP="003A7418">
            <w:pPr>
              <w:jc w:val="center"/>
              <w:rPr>
                <w:b/>
              </w:rPr>
            </w:pPr>
            <w:r w:rsidRPr="009C1BCD">
              <w:rPr>
                <w:b/>
              </w:rPr>
              <w:t>Initial Model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2EB0" w:rsidRPr="009C1BCD" w:rsidRDefault="006E2EB0" w:rsidP="003A7418">
            <w:pPr>
              <w:jc w:val="center"/>
              <w:rPr>
                <w:b/>
              </w:rPr>
            </w:pPr>
            <w:r w:rsidRPr="009C1BCD">
              <w:rPr>
                <w:b/>
              </w:rPr>
              <w:t>Final Model</w:t>
            </w:r>
          </w:p>
        </w:tc>
      </w:tr>
      <w:tr w:rsidR="006E2EB0" w:rsidRPr="00462AD0" w:rsidTr="003A7418">
        <w:trPr>
          <w:trHeight w:val="200"/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E2EB0" w:rsidRPr="009C1BCD" w:rsidRDefault="006E2EB0" w:rsidP="003A74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BCD">
              <w:rPr>
                <w:bCs/>
              </w:rPr>
              <w:t>NNFI</w:t>
            </w:r>
          </w:p>
        </w:tc>
        <w:tc>
          <w:tcPr>
            <w:tcW w:w="1654" w:type="dxa"/>
            <w:tcBorders>
              <w:top w:val="single" w:sz="6" w:space="0" w:color="000000"/>
            </w:tcBorders>
            <w:shd w:val="clear" w:color="auto" w:fill="auto"/>
          </w:tcPr>
          <w:p w:rsidR="006E2EB0" w:rsidRPr="00711837" w:rsidRDefault="006E2EB0" w:rsidP="003A7418">
            <w:pPr>
              <w:jc w:val="center"/>
            </w:pPr>
            <w:r w:rsidRPr="00711837">
              <w:t>0.902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:rsidR="006E2EB0" w:rsidRPr="00711837" w:rsidRDefault="006E2EB0" w:rsidP="003A7418">
            <w:pPr>
              <w:jc w:val="center"/>
            </w:pPr>
            <w:r w:rsidRPr="00711837">
              <w:t>0.934</w:t>
            </w:r>
          </w:p>
        </w:tc>
      </w:tr>
      <w:tr w:rsidR="006E2EB0" w:rsidRPr="00462AD0" w:rsidTr="00D74F35">
        <w:trPr>
          <w:trHeight w:val="18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6E2EB0" w:rsidRPr="009C1BCD" w:rsidRDefault="006E2EB0" w:rsidP="003A74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BCD">
              <w:rPr>
                <w:bCs/>
              </w:rPr>
              <w:t>CFI</w:t>
            </w:r>
          </w:p>
        </w:tc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6E2EB0" w:rsidRPr="00711837" w:rsidRDefault="006E2EB0" w:rsidP="003A7418">
            <w:pPr>
              <w:jc w:val="center"/>
            </w:pPr>
            <w:r w:rsidRPr="00711837">
              <w:t>0.890</w:t>
            </w:r>
          </w:p>
        </w:tc>
        <w:tc>
          <w:tcPr>
            <w:tcW w:w="1654" w:type="dxa"/>
            <w:tcBorders>
              <w:bottom w:val="nil"/>
            </w:tcBorders>
          </w:tcPr>
          <w:p w:rsidR="006E2EB0" w:rsidRPr="00711837" w:rsidRDefault="006E2EB0" w:rsidP="003A7418">
            <w:pPr>
              <w:jc w:val="center"/>
            </w:pPr>
            <w:r w:rsidRPr="00711837">
              <w:t>0.910</w:t>
            </w:r>
          </w:p>
        </w:tc>
      </w:tr>
      <w:tr w:rsidR="006E2EB0" w:rsidRPr="00462AD0" w:rsidTr="00D74F35">
        <w:trPr>
          <w:trHeight w:val="2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2EB0" w:rsidRPr="009C1BCD" w:rsidRDefault="006E2EB0" w:rsidP="003A74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BCD">
              <w:rPr>
                <w:bCs/>
              </w:rPr>
              <w:t>RMSEA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2EB0" w:rsidRPr="00711837" w:rsidRDefault="006E2EB0" w:rsidP="003A7418">
            <w:pPr>
              <w:jc w:val="center"/>
            </w:pPr>
            <w:r w:rsidRPr="00711837">
              <w:t>0.137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6E2EB0" w:rsidRPr="00711837" w:rsidRDefault="006E2EB0" w:rsidP="003A7418">
            <w:pPr>
              <w:jc w:val="center"/>
            </w:pPr>
            <w:r w:rsidRPr="00711837">
              <w:t>0.086</w:t>
            </w:r>
          </w:p>
        </w:tc>
      </w:tr>
    </w:tbl>
    <w:p w:rsidR="00EA303E" w:rsidRDefault="00EA303E" w:rsidP="001C3123">
      <w:pPr>
        <w:rPr>
          <w:color w:val="000000"/>
        </w:rPr>
      </w:pPr>
    </w:p>
    <w:p w:rsidR="001A5FC2" w:rsidRPr="00462AD0" w:rsidRDefault="001A5FC2" w:rsidP="001C3123">
      <w:pPr>
        <w:rPr>
          <w:color w:val="000000"/>
        </w:rPr>
      </w:pPr>
    </w:p>
    <w:p w:rsidR="006E2EB0" w:rsidRPr="00462AD0" w:rsidRDefault="00C65AAF" w:rsidP="006E2EB0">
      <w:pPr>
        <w:jc w:val="center"/>
        <w:rPr>
          <w:color w:val="000000"/>
        </w:rPr>
      </w:pPr>
      <w:r>
        <w:rPr>
          <w:noProof/>
          <w:lang w:eastAsia="en-US"/>
        </w:rPr>
        <w:drawing>
          <wp:inline distT="0" distB="0" distL="0" distR="0" wp14:anchorId="03F139D0" wp14:editId="58438AF9">
            <wp:extent cx="3052555" cy="2138901"/>
            <wp:effectExtent l="19050" t="0" r="0" b="0"/>
            <wp:docPr id="9" name="Picture 9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55" cy="213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B0" w:rsidRPr="00462AD0" w:rsidRDefault="006E2EB0" w:rsidP="006E2EB0">
      <w:pPr>
        <w:rPr>
          <w:color w:val="000000"/>
        </w:rPr>
      </w:pPr>
    </w:p>
    <w:p w:rsidR="006E2EB0" w:rsidRPr="00462AD0" w:rsidRDefault="006E2EB0" w:rsidP="006E2EB0">
      <w:pPr>
        <w:jc w:val="center"/>
        <w:rPr>
          <w:color w:val="000000"/>
        </w:rPr>
      </w:pPr>
      <w:proofErr w:type="gramStart"/>
      <w:r w:rsidRPr="00F923EC">
        <w:rPr>
          <w:b/>
          <w:color w:val="000000"/>
        </w:rPr>
        <w:t>Figure 1.</w:t>
      </w:r>
      <w:proofErr w:type="gramEnd"/>
      <w:r w:rsidRPr="00F923EC">
        <w:rPr>
          <w:color w:val="000000"/>
        </w:rPr>
        <w:t xml:space="preserve"> </w:t>
      </w:r>
      <w:r w:rsidR="00814C4B">
        <w:rPr>
          <w:color w:val="000000"/>
        </w:rPr>
        <w:t>Stress vs. strain behavior of concrete in compression</w:t>
      </w:r>
    </w:p>
    <w:p w:rsidR="001A5FC2" w:rsidRPr="00462AD0" w:rsidRDefault="001A5FC2" w:rsidP="00D03DC6">
      <w:pPr>
        <w:rPr>
          <w:color w:val="000000"/>
        </w:rPr>
      </w:pPr>
    </w:p>
    <w:p w:rsidR="00A657B2" w:rsidRPr="00462AD0" w:rsidRDefault="00F80963" w:rsidP="008F7A0D">
      <w:pPr>
        <w:jc w:val="both"/>
        <w:rPr>
          <w:color w:val="000000"/>
        </w:rPr>
      </w:pPr>
      <w:r w:rsidRPr="00462AD0">
        <w:rPr>
          <w:color w:val="000000"/>
        </w:rPr>
        <w:t>Adjust pictures, if any, to be in 300 dpi resolution (at most) and 150 dpi (at least) with color quality</w:t>
      </w:r>
      <w:r w:rsidR="00F15AA0" w:rsidRPr="00462AD0">
        <w:rPr>
          <w:color w:val="000000"/>
        </w:rPr>
        <w:t xml:space="preserve"> as shown in Figure 2.</w:t>
      </w:r>
    </w:p>
    <w:p w:rsidR="000A0FBE" w:rsidRPr="00462AD0" w:rsidRDefault="000A0FBE" w:rsidP="001C3123">
      <w:pPr>
        <w:rPr>
          <w:color w:val="000000"/>
        </w:rPr>
      </w:pPr>
    </w:p>
    <w:p w:rsidR="00814C4B" w:rsidRPr="00462AD0" w:rsidRDefault="001A5FC2" w:rsidP="007E2A98">
      <w:pPr>
        <w:jc w:val="center"/>
        <w:rPr>
          <w:color w:val="000000"/>
        </w:rPr>
      </w:pPr>
      <w:r>
        <w:rPr>
          <w:noProof/>
          <w:lang w:eastAsia="en-US"/>
        </w:rPr>
        <w:lastRenderedPageBreak/>
        <w:drawing>
          <wp:inline distT="0" distB="0" distL="0" distR="0" wp14:anchorId="323744F4" wp14:editId="0D5D1DF5">
            <wp:extent cx="1932305" cy="1797050"/>
            <wp:effectExtent l="19050" t="0" r="0" b="0"/>
            <wp:docPr id="15" name="Picture 15" descr="data-acquisition-units-39506-257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ta-acquisition-units-39506-25725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C1" w:rsidRPr="00462AD0" w:rsidRDefault="008A22C1" w:rsidP="001C3123">
      <w:pPr>
        <w:rPr>
          <w:color w:val="000000"/>
        </w:rPr>
      </w:pPr>
    </w:p>
    <w:p w:rsidR="008A22C1" w:rsidRPr="00462AD0" w:rsidRDefault="00F15AA0" w:rsidP="007E2A98">
      <w:pPr>
        <w:jc w:val="center"/>
        <w:rPr>
          <w:color w:val="000000"/>
        </w:rPr>
      </w:pPr>
      <w:proofErr w:type="gramStart"/>
      <w:r w:rsidRPr="00462AD0">
        <w:rPr>
          <w:b/>
          <w:color w:val="000000"/>
        </w:rPr>
        <w:t>Figure</w:t>
      </w:r>
      <w:r w:rsidR="000A0FBE" w:rsidRPr="00462AD0">
        <w:rPr>
          <w:b/>
          <w:color w:val="000000"/>
        </w:rPr>
        <w:t xml:space="preserve"> </w:t>
      </w:r>
      <w:r w:rsidRPr="00462AD0">
        <w:rPr>
          <w:b/>
          <w:color w:val="000000"/>
        </w:rPr>
        <w:t>2.</w:t>
      </w:r>
      <w:proofErr w:type="gramEnd"/>
      <w:r w:rsidR="00CB4D6C" w:rsidRPr="00462AD0">
        <w:rPr>
          <w:color w:val="000000"/>
        </w:rPr>
        <w:t xml:space="preserve"> </w:t>
      </w:r>
      <w:proofErr w:type="gramStart"/>
      <w:r w:rsidR="001A5FC2">
        <w:rPr>
          <w:color w:val="000000"/>
        </w:rPr>
        <w:t>Data acquisition unit</w:t>
      </w:r>
      <w:r w:rsidR="00F35124" w:rsidRPr="00462AD0">
        <w:rPr>
          <w:color w:val="000000"/>
        </w:rPr>
        <w:t>.</w:t>
      </w:r>
      <w:proofErr w:type="gramEnd"/>
      <w:r w:rsidR="007069EB" w:rsidRPr="00462AD0">
        <w:rPr>
          <w:color w:val="000000"/>
        </w:rPr>
        <w:t xml:space="preserve"> </w:t>
      </w:r>
    </w:p>
    <w:p w:rsidR="00D421B0" w:rsidRPr="00462AD0" w:rsidRDefault="00D421B0" w:rsidP="00D366A0">
      <w:pPr>
        <w:rPr>
          <w:color w:val="000000"/>
        </w:rPr>
      </w:pPr>
    </w:p>
    <w:p w:rsidR="00D366A0" w:rsidRPr="00462AD0" w:rsidRDefault="00D366A0" w:rsidP="00D366A0">
      <w:pPr>
        <w:rPr>
          <w:color w:val="000000"/>
        </w:rPr>
      </w:pPr>
    </w:p>
    <w:p w:rsidR="00115163" w:rsidRPr="0012198A" w:rsidRDefault="00115163" w:rsidP="00B563C1">
      <w:pPr>
        <w:jc w:val="both"/>
        <w:rPr>
          <w:rFonts w:ascii="Cambria Math" w:hAnsi="Cambria Math"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>4 Equations</w:t>
      </w:r>
    </w:p>
    <w:p w:rsidR="008A22C1" w:rsidRPr="00462AD0" w:rsidRDefault="008A22C1" w:rsidP="00C33AB1">
      <w:pPr>
        <w:jc w:val="both"/>
        <w:rPr>
          <w:color w:val="000000"/>
        </w:rPr>
      </w:pPr>
    </w:p>
    <w:p w:rsidR="005F581A" w:rsidRPr="00462AD0" w:rsidRDefault="003600B5" w:rsidP="00C33AB1">
      <w:pPr>
        <w:jc w:val="both"/>
        <w:rPr>
          <w:color w:val="000000"/>
        </w:rPr>
      </w:pPr>
      <w:r w:rsidRPr="00462AD0">
        <w:rPr>
          <w:color w:val="000000"/>
        </w:rPr>
        <w:t>Equa</w:t>
      </w:r>
      <w:r w:rsidR="00C33AB1" w:rsidRPr="00462AD0">
        <w:rPr>
          <w:color w:val="000000"/>
        </w:rPr>
        <w:t xml:space="preserve">tions should </w:t>
      </w:r>
      <w:r w:rsidR="00D03B0F">
        <w:rPr>
          <w:color w:val="000000"/>
        </w:rPr>
        <w:t>be written by using the “Equation” tool in “</w:t>
      </w:r>
      <w:r w:rsidRPr="00462AD0">
        <w:rPr>
          <w:color w:val="000000"/>
        </w:rPr>
        <w:t>Microsoft Word</w:t>
      </w:r>
      <w:r w:rsidR="00D03B0F">
        <w:rPr>
          <w:color w:val="000000"/>
        </w:rPr>
        <w:t>” or by using “MathType”, with 12 pts</w:t>
      </w:r>
      <w:r w:rsidR="0012198A">
        <w:rPr>
          <w:color w:val="000000"/>
        </w:rPr>
        <w:t>.</w:t>
      </w:r>
      <w:r w:rsidR="00D03B0F">
        <w:rPr>
          <w:color w:val="000000"/>
        </w:rPr>
        <w:t xml:space="preserve"> font</w:t>
      </w:r>
      <w:r w:rsidR="0012198A">
        <w:rPr>
          <w:color w:val="000000"/>
        </w:rPr>
        <w:t xml:space="preserve"> size</w:t>
      </w:r>
      <w:r w:rsidR="00D03B0F">
        <w:rPr>
          <w:color w:val="000000"/>
        </w:rPr>
        <w:t xml:space="preserve"> for full characters.</w:t>
      </w:r>
      <w:r w:rsidRPr="00462AD0">
        <w:rPr>
          <w:color w:val="000000"/>
        </w:rPr>
        <w:t xml:space="preserve"> </w:t>
      </w:r>
      <w:r w:rsidR="00D03B0F">
        <w:rPr>
          <w:color w:val="000000"/>
        </w:rPr>
        <w:t>Character font must be “Times New Roman” or “</w:t>
      </w:r>
      <w:r w:rsidR="0012198A">
        <w:rPr>
          <w:color w:val="000000"/>
        </w:rPr>
        <w:t xml:space="preserve">Cambria Math”. </w:t>
      </w:r>
      <w:r w:rsidR="00566B53" w:rsidRPr="00462AD0">
        <w:rPr>
          <w:color w:val="000000"/>
        </w:rPr>
        <w:t xml:space="preserve">Do not write text in </w:t>
      </w:r>
      <w:r w:rsidR="0012198A">
        <w:rPr>
          <w:color w:val="000000"/>
        </w:rPr>
        <w:t xml:space="preserve">the </w:t>
      </w:r>
      <w:r w:rsidR="00566B53" w:rsidRPr="00462AD0">
        <w:rPr>
          <w:color w:val="000000"/>
        </w:rPr>
        <w:t>equation editor</w:t>
      </w:r>
      <w:r w:rsidR="00C33AB1" w:rsidRPr="00462AD0">
        <w:rPr>
          <w:color w:val="000000"/>
        </w:rPr>
        <w:t>.</w:t>
      </w:r>
    </w:p>
    <w:p w:rsidR="00C33AB1" w:rsidRPr="00462AD0" w:rsidRDefault="00C33AB1" w:rsidP="00C33AB1">
      <w:pPr>
        <w:jc w:val="both"/>
        <w:rPr>
          <w:color w:val="000000"/>
        </w:rPr>
      </w:pPr>
    </w:p>
    <w:p w:rsidR="005F581A" w:rsidRDefault="000A1858" w:rsidP="000A1858">
      <w:pPr>
        <w:tabs>
          <w:tab w:val="left" w:pos="567"/>
          <w:tab w:val="right" w:pos="9072"/>
        </w:tabs>
        <w:jc w:val="both"/>
        <w:rPr>
          <w:color w:val="000000"/>
        </w:rPr>
      </w:pPr>
      <w:r>
        <w:rPr>
          <w:color w:val="000000"/>
        </w:rPr>
        <w:tab/>
      </w:r>
      <w:r w:rsidR="00EB05DD" w:rsidRPr="00462AD0">
        <w:rPr>
          <w:color w:val="000000"/>
          <w:position w:val="-28"/>
        </w:rPr>
        <w:object w:dxaOrig="2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5pt;height:33.8pt" o:ole="">
            <v:imagedata r:id="rId10" o:title=""/>
          </v:shape>
          <o:OLEObject Type="Embed" ProgID="Equation.3" ShapeID="_x0000_i1025" DrawAspect="Content" ObjectID="_1626779535" r:id="rId11"/>
        </w:object>
      </w:r>
      <w:r w:rsidR="00092FCA">
        <w:rPr>
          <w:color w:val="000000"/>
        </w:rPr>
        <w:tab/>
      </w:r>
      <w:r>
        <w:rPr>
          <w:color w:val="000000"/>
        </w:rPr>
        <w:t>(1)</w:t>
      </w:r>
    </w:p>
    <w:p w:rsidR="0043531F" w:rsidRDefault="0043531F" w:rsidP="00DD42BE">
      <w:pPr>
        <w:jc w:val="both"/>
        <w:rPr>
          <w:color w:val="000000"/>
        </w:rPr>
      </w:pPr>
    </w:p>
    <w:p w:rsidR="0043531F" w:rsidRPr="00462AD0" w:rsidRDefault="00977D11" w:rsidP="000A1858">
      <w:pPr>
        <w:tabs>
          <w:tab w:val="left" w:pos="567"/>
          <w:tab w:val="right" w:pos="9072"/>
        </w:tabs>
        <w:jc w:val="both"/>
        <w:rPr>
          <w:color w:val="000000"/>
        </w:rPr>
      </w:pPr>
      <w:r>
        <w:rPr>
          <w:color w:val="000000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43531F">
        <w:rPr>
          <w:color w:val="000000"/>
        </w:rPr>
        <w:tab/>
        <w:t>(</w:t>
      </w:r>
      <w:r>
        <w:rPr>
          <w:color w:val="000000"/>
        </w:rPr>
        <w:t>2</w:t>
      </w:r>
      <w:r w:rsidR="0043531F">
        <w:rPr>
          <w:color w:val="000000"/>
        </w:rPr>
        <w:t>)</w:t>
      </w:r>
    </w:p>
    <w:p w:rsidR="005F581A" w:rsidRPr="00462AD0" w:rsidRDefault="005F581A" w:rsidP="00F35124">
      <w:pPr>
        <w:rPr>
          <w:color w:val="000000"/>
        </w:rPr>
      </w:pPr>
    </w:p>
    <w:p w:rsidR="00D460D9" w:rsidRPr="00462AD0" w:rsidRDefault="00566B53" w:rsidP="00566B53">
      <w:pPr>
        <w:jc w:val="both"/>
        <w:rPr>
          <w:color w:val="000000"/>
        </w:rPr>
      </w:pPr>
      <w:r w:rsidRPr="00462AD0">
        <w:rPr>
          <w:color w:val="000000"/>
        </w:rPr>
        <w:t>Equations must be formatted</w:t>
      </w:r>
      <w:r w:rsidR="00C436CC" w:rsidRPr="00462AD0">
        <w:rPr>
          <w:color w:val="000000"/>
        </w:rPr>
        <w:t xml:space="preserve"> to be “in-line-text” using </w:t>
      </w:r>
      <w:r w:rsidR="00CB4D6C" w:rsidRPr="00462AD0">
        <w:rPr>
          <w:color w:val="000000"/>
        </w:rPr>
        <w:t xml:space="preserve">indentation of </w:t>
      </w:r>
      <w:r w:rsidR="00C436CC" w:rsidRPr="00462AD0">
        <w:rPr>
          <w:color w:val="000000"/>
        </w:rPr>
        <w:t>1cm</w:t>
      </w:r>
      <w:r w:rsidR="00CB4D6C" w:rsidRPr="00462AD0">
        <w:rPr>
          <w:color w:val="000000"/>
        </w:rPr>
        <w:t xml:space="preserve">, with </w:t>
      </w:r>
      <w:r w:rsidRPr="00462AD0">
        <w:rPr>
          <w:color w:val="000000"/>
        </w:rPr>
        <w:t xml:space="preserve">the </w:t>
      </w:r>
      <w:r w:rsidR="00C436CC" w:rsidRPr="00462AD0">
        <w:rPr>
          <w:color w:val="000000"/>
        </w:rPr>
        <w:t>equation number</w:t>
      </w:r>
      <w:r w:rsidRPr="00462AD0">
        <w:rPr>
          <w:color w:val="000000"/>
        </w:rPr>
        <w:t xml:space="preserve"> aligned to the right most of the page width</w:t>
      </w:r>
      <w:r w:rsidR="00C436CC" w:rsidRPr="00462AD0">
        <w:rPr>
          <w:color w:val="000000"/>
        </w:rPr>
        <w:t>.</w:t>
      </w:r>
      <w:r w:rsidR="00D41C51" w:rsidRPr="00462AD0">
        <w:rPr>
          <w:color w:val="000000"/>
        </w:rPr>
        <w:t xml:space="preserve"> </w:t>
      </w:r>
      <w:r w:rsidR="00345E92" w:rsidRPr="00462AD0">
        <w:rPr>
          <w:color w:val="000000"/>
        </w:rPr>
        <w:t>As in the format</w:t>
      </w:r>
      <w:r w:rsidR="00CB4D6C" w:rsidRPr="00462AD0">
        <w:rPr>
          <w:color w:val="000000"/>
        </w:rPr>
        <w:t xml:space="preserve"> of tables and figures, there should be 1</w:t>
      </w:r>
      <w:r w:rsidR="00EB05DD" w:rsidRPr="00462AD0">
        <w:rPr>
          <w:color w:val="000000"/>
        </w:rPr>
        <w:t xml:space="preserve"> line space between equations and both underlying and overlying p</w:t>
      </w:r>
      <w:r w:rsidR="00CB4D6C" w:rsidRPr="00462AD0">
        <w:rPr>
          <w:color w:val="000000"/>
        </w:rPr>
        <w:t>aragraphs.</w:t>
      </w:r>
      <w:r w:rsidR="0012198A">
        <w:rPr>
          <w:color w:val="000000"/>
        </w:rPr>
        <w:t xml:space="preserve"> </w:t>
      </w:r>
      <w:r w:rsidR="00D45C61" w:rsidRPr="00462AD0">
        <w:rPr>
          <w:color w:val="000000"/>
        </w:rPr>
        <w:t>The definition of</w:t>
      </w:r>
      <w:r w:rsidR="00D460D9" w:rsidRPr="00462AD0">
        <w:rPr>
          <w:color w:val="000000"/>
        </w:rPr>
        <w:t xml:space="preserve"> each symbol or parameter</w:t>
      </w:r>
      <w:r w:rsidR="00D45C61" w:rsidRPr="00462AD0">
        <w:rPr>
          <w:color w:val="000000"/>
        </w:rPr>
        <w:t xml:space="preserve"> in the equation</w:t>
      </w:r>
      <w:r w:rsidR="00D460D9" w:rsidRPr="00462AD0">
        <w:rPr>
          <w:color w:val="000000"/>
        </w:rPr>
        <w:t xml:space="preserve"> </w:t>
      </w:r>
      <w:r w:rsidR="00405E99" w:rsidRPr="00462AD0">
        <w:rPr>
          <w:color w:val="000000"/>
        </w:rPr>
        <w:t>can</w:t>
      </w:r>
      <w:r w:rsidR="00D460D9" w:rsidRPr="00462AD0">
        <w:rPr>
          <w:color w:val="000000"/>
        </w:rPr>
        <w:t xml:space="preserve"> be given </w:t>
      </w:r>
      <w:r w:rsidR="000D74A0" w:rsidRPr="00462AD0">
        <w:rPr>
          <w:color w:val="000000"/>
        </w:rPr>
        <w:t>below the equation, after entering 1 line space.</w:t>
      </w:r>
    </w:p>
    <w:p w:rsidR="00D460D9" w:rsidRPr="00462AD0" w:rsidRDefault="00D460D9" w:rsidP="00566B53">
      <w:pPr>
        <w:jc w:val="both"/>
        <w:rPr>
          <w:color w:val="000000"/>
        </w:rPr>
      </w:pPr>
    </w:p>
    <w:p w:rsidR="001C3123" w:rsidRDefault="001C3123" w:rsidP="00566B53">
      <w:pPr>
        <w:jc w:val="both"/>
        <w:rPr>
          <w:color w:val="000000"/>
        </w:rPr>
      </w:pPr>
    </w:p>
    <w:p w:rsidR="00D15ECB" w:rsidRPr="00D15ECB" w:rsidRDefault="00D15ECB" w:rsidP="00D15EC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646C1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Citations</w:t>
      </w:r>
    </w:p>
    <w:p w:rsidR="00D15ECB" w:rsidRDefault="00D15ECB" w:rsidP="00566B53">
      <w:pPr>
        <w:jc w:val="both"/>
        <w:rPr>
          <w:color w:val="000000"/>
        </w:rPr>
      </w:pPr>
    </w:p>
    <w:p w:rsidR="00E37692" w:rsidRDefault="00E37692" w:rsidP="00E37692">
      <w:pPr>
        <w:jc w:val="both"/>
        <w:rPr>
          <w:color w:val="000000"/>
        </w:rPr>
      </w:pPr>
      <w:r w:rsidRPr="00D15ECB">
        <w:rPr>
          <w:color w:val="000000"/>
        </w:rPr>
        <w:t>You must document whenever you quote, paraphrase, summarize, or use any idea, fact, or figure from source material (unless the material is “common knowledge”</w:t>
      </w:r>
      <w:r>
        <w:rPr>
          <w:color w:val="000000"/>
        </w:rPr>
        <w:t xml:space="preserve">). For your manuscript, you should use </w:t>
      </w:r>
      <w:r w:rsidRPr="00D15ECB">
        <w:rPr>
          <w:color w:val="000000"/>
        </w:rPr>
        <w:t xml:space="preserve">in-text parenthetical references in </w:t>
      </w:r>
      <w:r w:rsidRPr="003E4CB0">
        <w:rPr>
          <w:color w:val="000000"/>
        </w:rPr>
        <w:t>conjunction with an alphabetized References list using APA style. In-text citation example can be done as in this sentence (</w:t>
      </w:r>
      <w:r>
        <w:rPr>
          <w:color w:val="000000"/>
        </w:rPr>
        <w:t>Makino</w:t>
      </w:r>
      <w:r w:rsidRPr="003E4CB0">
        <w:rPr>
          <w:color w:val="000000"/>
        </w:rPr>
        <w:t xml:space="preserve"> and </w:t>
      </w:r>
      <w:r>
        <w:rPr>
          <w:color w:val="000000"/>
        </w:rPr>
        <w:t>Beamish</w:t>
      </w:r>
      <w:r w:rsidRPr="003E4CB0">
        <w:rPr>
          <w:color w:val="000000"/>
        </w:rPr>
        <w:t>, 199</w:t>
      </w:r>
      <w:r>
        <w:rPr>
          <w:color w:val="000000"/>
        </w:rPr>
        <w:t>8</w:t>
      </w:r>
      <w:r w:rsidRPr="003E4CB0">
        <w:rPr>
          <w:color w:val="000000"/>
        </w:rPr>
        <w:t>). In the case of more</w:t>
      </w:r>
      <w:r w:rsidRPr="00462AD0">
        <w:rPr>
          <w:color w:val="000000"/>
        </w:rPr>
        <w:t xml:space="preserve"> than two authors, et al. should be used after fol</w:t>
      </w:r>
      <w:r>
        <w:rPr>
          <w:color w:val="000000"/>
        </w:rPr>
        <w:t>lowing the first author, e.g. (Dickinson</w:t>
      </w:r>
      <w:r w:rsidRPr="00462AD0">
        <w:rPr>
          <w:color w:val="000000"/>
        </w:rPr>
        <w:t xml:space="preserve"> et al., </w:t>
      </w:r>
      <w:r>
        <w:rPr>
          <w:color w:val="000000"/>
        </w:rPr>
        <w:t>2005</w:t>
      </w:r>
      <w:r w:rsidRPr="00462AD0">
        <w:rPr>
          <w:color w:val="000000"/>
        </w:rPr>
        <w:t>).</w:t>
      </w:r>
      <w:r>
        <w:rPr>
          <w:color w:val="000000"/>
        </w:rPr>
        <w:t xml:space="preserve"> In </w:t>
      </w:r>
      <w:r w:rsidRPr="003E4CB0">
        <w:rPr>
          <w:color w:val="000000"/>
        </w:rPr>
        <w:t>technical document</w:t>
      </w:r>
      <w:r>
        <w:rPr>
          <w:color w:val="000000"/>
        </w:rPr>
        <w:t>s by government agency or institutes</w:t>
      </w:r>
      <w:r w:rsidRPr="003E4CB0">
        <w:rPr>
          <w:color w:val="000000"/>
        </w:rPr>
        <w:t>,</w:t>
      </w:r>
      <w:r>
        <w:rPr>
          <w:color w:val="000000"/>
        </w:rPr>
        <w:t xml:space="preserve"> for the first citation, the agency name should be spelled out with the acronym (if it was not done before in the text), such as, </w:t>
      </w:r>
      <w:r w:rsidRPr="003E4CB0">
        <w:t>(</w:t>
      </w:r>
      <w:r w:rsidRPr="00743F44">
        <w:t>Office of Government Commerce</w:t>
      </w:r>
      <w:r>
        <w:t xml:space="preserve"> [OGC], 2007),</w:t>
      </w:r>
      <w:r>
        <w:rPr>
          <w:color w:val="000000"/>
        </w:rPr>
        <w:t xml:space="preserve"> while for the second citation, only the acronym should be used.</w:t>
      </w:r>
    </w:p>
    <w:p w:rsidR="00E37692" w:rsidRDefault="00E37692" w:rsidP="00E37692">
      <w:pPr>
        <w:jc w:val="both"/>
        <w:rPr>
          <w:color w:val="000000"/>
        </w:rPr>
      </w:pPr>
    </w:p>
    <w:p w:rsidR="00E37692" w:rsidRPr="00462AD0" w:rsidRDefault="00E37692" w:rsidP="00E37692">
      <w:pPr>
        <w:jc w:val="both"/>
        <w:rPr>
          <w:color w:val="000000"/>
        </w:rPr>
      </w:pPr>
      <w:r>
        <w:rPr>
          <w:color w:val="000000"/>
        </w:rPr>
        <w:t>In APA style</w:t>
      </w:r>
      <w:r w:rsidRPr="00714725">
        <w:rPr>
          <w:color w:val="000000"/>
        </w:rPr>
        <w:t xml:space="preserve"> </w:t>
      </w:r>
      <w:r>
        <w:rPr>
          <w:color w:val="000000"/>
        </w:rPr>
        <w:t xml:space="preserve">Reference list should be </w:t>
      </w:r>
      <w:r w:rsidRPr="00462AD0">
        <w:rPr>
          <w:color w:val="000000"/>
        </w:rPr>
        <w:t>sorted in alphabetical order according to the surname of the first author in an ascending form</w:t>
      </w:r>
      <w:r>
        <w:rPr>
          <w:color w:val="000000"/>
        </w:rPr>
        <w:t xml:space="preserve">. </w:t>
      </w:r>
      <w:r w:rsidRPr="00462AD0">
        <w:rPr>
          <w:color w:val="000000"/>
        </w:rPr>
        <w:t xml:space="preserve">Numbering should not be used for references, and there should be no line space between subsequent references. References should be indented with 1 tab stop (use 0.5 cm for tab stop) from the left margin, except the first line of each </w:t>
      </w:r>
      <w:r>
        <w:rPr>
          <w:color w:val="000000"/>
        </w:rPr>
        <w:t>reference (see the examples below</w:t>
      </w:r>
      <w:r w:rsidRPr="00462AD0">
        <w:rPr>
          <w:color w:val="000000"/>
        </w:rPr>
        <w:t>). The references must be given in the text as the author(s) last name and the date in parentheses, such as (</w:t>
      </w:r>
      <w:r>
        <w:rPr>
          <w:color w:val="000000"/>
        </w:rPr>
        <w:t>Makino</w:t>
      </w:r>
      <w:r w:rsidRPr="003E4CB0">
        <w:rPr>
          <w:color w:val="000000"/>
        </w:rPr>
        <w:t xml:space="preserve"> and </w:t>
      </w:r>
      <w:r>
        <w:rPr>
          <w:color w:val="000000"/>
        </w:rPr>
        <w:t>Beamish</w:t>
      </w:r>
      <w:r w:rsidRPr="003E4CB0">
        <w:rPr>
          <w:color w:val="000000"/>
        </w:rPr>
        <w:t>, 199</w:t>
      </w:r>
      <w:r>
        <w:rPr>
          <w:color w:val="000000"/>
        </w:rPr>
        <w:t>8</w:t>
      </w:r>
      <w:r w:rsidRPr="00462AD0">
        <w:rPr>
          <w:color w:val="000000"/>
        </w:rPr>
        <w:t xml:space="preserve">). </w:t>
      </w:r>
    </w:p>
    <w:p w:rsidR="00E37692" w:rsidRDefault="00E37692" w:rsidP="00E37692">
      <w:pPr>
        <w:jc w:val="both"/>
        <w:rPr>
          <w:color w:val="000000"/>
        </w:rPr>
      </w:pPr>
    </w:p>
    <w:p w:rsidR="00E37692" w:rsidRPr="00462AD0" w:rsidRDefault="00E37692" w:rsidP="00E37692">
      <w:pPr>
        <w:jc w:val="both"/>
        <w:rPr>
          <w:color w:val="000000"/>
        </w:rPr>
      </w:pPr>
    </w:p>
    <w:p w:rsidR="00E37692" w:rsidRPr="00646C18" w:rsidRDefault="00E37692" w:rsidP="00E37692">
      <w:pPr>
        <w:jc w:val="both"/>
        <w:rPr>
          <w:b/>
          <w:color w:val="000000"/>
          <w:sz w:val="24"/>
          <w:szCs w:val="24"/>
        </w:rPr>
      </w:pPr>
      <w:r w:rsidRPr="00646C18">
        <w:rPr>
          <w:b/>
          <w:color w:val="000000"/>
          <w:sz w:val="24"/>
          <w:szCs w:val="24"/>
        </w:rPr>
        <w:t>References</w:t>
      </w:r>
    </w:p>
    <w:p w:rsidR="00E37692" w:rsidRPr="00462AD0" w:rsidRDefault="00E37692" w:rsidP="00E37692">
      <w:pPr>
        <w:jc w:val="both"/>
        <w:rPr>
          <w:color w:val="000000"/>
        </w:rPr>
      </w:pPr>
    </w:p>
    <w:p w:rsidR="00E37692" w:rsidRPr="00DF3A78" w:rsidRDefault="00E37692" w:rsidP="00E37692">
      <w:pPr>
        <w:autoSpaceDE w:val="0"/>
        <w:autoSpaceDN w:val="0"/>
        <w:adjustRightInd w:val="0"/>
        <w:ind w:left="227" w:hanging="227"/>
        <w:jc w:val="both"/>
        <w:rPr>
          <w:bCs/>
          <w:szCs w:val="22"/>
          <w:lang w:val="en-GB"/>
        </w:rPr>
      </w:pPr>
      <w:proofErr w:type="gramStart"/>
      <w:r w:rsidRPr="00FF51CD">
        <w:rPr>
          <w:bCs/>
          <w:szCs w:val="22"/>
          <w:lang w:val="en-GB"/>
        </w:rPr>
        <w:t>Dickinson, M., Cooper, R., McDermott, P. and Eaton, D. (2005)</w:t>
      </w:r>
      <w:r>
        <w:rPr>
          <w:bCs/>
          <w:szCs w:val="22"/>
          <w:lang w:val="en-GB"/>
        </w:rPr>
        <w:t>.</w:t>
      </w:r>
      <w:proofErr w:type="gramEnd"/>
      <w:r w:rsidRPr="00FF51CD">
        <w:rPr>
          <w:bCs/>
          <w:szCs w:val="22"/>
          <w:lang w:val="en-GB"/>
        </w:rPr>
        <w:t xml:space="preserve"> </w:t>
      </w:r>
      <w:proofErr w:type="gramStart"/>
      <w:r>
        <w:rPr>
          <w:bCs/>
          <w:szCs w:val="22"/>
          <w:lang w:val="en-GB"/>
        </w:rPr>
        <w:t>An analysis of constructi</w:t>
      </w:r>
      <w:r w:rsidRPr="00DF3A78">
        <w:rPr>
          <w:bCs/>
          <w:szCs w:val="22"/>
          <w:lang w:val="en-GB"/>
        </w:rPr>
        <w:t>on innovation literature</w:t>
      </w:r>
      <w:r>
        <w:rPr>
          <w:bCs/>
          <w:szCs w:val="22"/>
          <w:lang w:val="en-GB"/>
        </w:rPr>
        <w:t>.</w:t>
      </w:r>
      <w:proofErr w:type="gramEnd"/>
      <w:r>
        <w:rPr>
          <w:bCs/>
          <w:szCs w:val="22"/>
          <w:lang w:val="en-GB"/>
        </w:rPr>
        <w:t xml:space="preserve"> </w:t>
      </w:r>
      <w:proofErr w:type="gramStart"/>
      <w:r w:rsidRPr="00EB1B12">
        <w:rPr>
          <w:bCs/>
          <w:i/>
          <w:szCs w:val="22"/>
          <w:lang w:val="en-GB"/>
        </w:rPr>
        <w:t>Fifth International</w:t>
      </w:r>
      <w:r w:rsidRPr="0044384A">
        <w:rPr>
          <w:bCs/>
          <w:i/>
          <w:szCs w:val="22"/>
          <w:lang w:val="en-GB"/>
        </w:rPr>
        <w:t xml:space="preserve"> Postgraduate Research Conference</w:t>
      </w:r>
      <w:r w:rsidRPr="00DF3A78">
        <w:rPr>
          <w:bCs/>
          <w:szCs w:val="22"/>
          <w:lang w:val="en-GB"/>
        </w:rPr>
        <w:t xml:space="preserve">, April 14-15, Vol. 2, </w:t>
      </w:r>
      <w:r>
        <w:rPr>
          <w:bCs/>
          <w:szCs w:val="22"/>
          <w:lang w:val="en-GB"/>
        </w:rPr>
        <w:t>pp.</w:t>
      </w:r>
      <w:r w:rsidR="00C209A0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>589</w:t>
      </w:r>
      <w:r w:rsidR="00C209A0">
        <w:t>-</w:t>
      </w:r>
      <w:r>
        <w:rPr>
          <w:bCs/>
          <w:szCs w:val="22"/>
          <w:lang w:val="en-GB"/>
        </w:rPr>
        <w:t xml:space="preserve">594, </w:t>
      </w:r>
      <w:r w:rsidRPr="00DF3A78">
        <w:rPr>
          <w:bCs/>
          <w:szCs w:val="22"/>
          <w:lang w:val="en-GB"/>
        </w:rPr>
        <w:t>Salford, UK.</w:t>
      </w:r>
      <w:proofErr w:type="gramEnd"/>
      <w:r w:rsidRPr="00DF3A78">
        <w:rPr>
          <w:bCs/>
          <w:szCs w:val="22"/>
          <w:lang w:val="en-GB"/>
        </w:rPr>
        <w:t xml:space="preserve"> </w:t>
      </w:r>
    </w:p>
    <w:p w:rsidR="00E37692" w:rsidRPr="00B63EE7" w:rsidRDefault="00E37692" w:rsidP="00E37692">
      <w:pPr>
        <w:tabs>
          <w:tab w:val="left" w:pos="284"/>
        </w:tabs>
        <w:ind w:left="284" w:hanging="284"/>
        <w:jc w:val="both"/>
      </w:pPr>
      <w:proofErr w:type="gramStart"/>
      <w:r w:rsidRPr="00B63EE7">
        <w:lastRenderedPageBreak/>
        <w:t>Hofstede, G., and Hofstede, G. J. (2005).</w:t>
      </w:r>
      <w:proofErr w:type="gramEnd"/>
      <w:r w:rsidRPr="00B63EE7">
        <w:t xml:space="preserve"> </w:t>
      </w:r>
      <w:r w:rsidRPr="004B1C30">
        <w:rPr>
          <w:i/>
        </w:rPr>
        <w:t xml:space="preserve">Cultures and </w:t>
      </w:r>
      <w:r>
        <w:rPr>
          <w:i/>
        </w:rPr>
        <w:t>O</w:t>
      </w:r>
      <w:r w:rsidRPr="004B1C30">
        <w:rPr>
          <w:i/>
        </w:rPr>
        <w:t>rganizations:</w:t>
      </w:r>
      <w:r>
        <w:rPr>
          <w:i/>
        </w:rPr>
        <w:t xml:space="preserve"> </w:t>
      </w:r>
      <w:r w:rsidRPr="004B1C30">
        <w:rPr>
          <w:i/>
        </w:rPr>
        <w:t xml:space="preserve">Software of the </w:t>
      </w:r>
      <w:r>
        <w:rPr>
          <w:i/>
        </w:rPr>
        <w:t>M</w:t>
      </w:r>
      <w:r w:rsidRPr="004B1C30">
        <w:rPr>
          <w:i/>
        </w:rPr>
        <w:t>ind</w:t>
      </w:r>
      <w:r>
        <w:rPr>
          <w:i/>
        </w:rPr>
        <w:t>.</w:t>
      </w:r>
      <w:r w:rsidRPr="00B63EE7">
        <w:t xml:space="preserve"> McGraw-Hill, New York.</w:t>
      </w:r>
    </w:p>
    <w:p w:rsidR="00E37692" w:rsidRPr="00B63EE7" w:rsidRDefault="00E37692" w:rsidP="00E37692">
      <w:pPr>
        <w:tabs>
          <w:tab w:val="left" w:pos="284"/>
        </w:tabs>
        <w:ind w:left="284" w:hanging="284"/>
        <w:jc w:val="both"/>
      </w:pPr>
      <w:r>
        <w:t>Makino, S.</w:t>
      </w:r>
      <w:r w:rsidRPr="00B63EE7">
        <w:t xml:space="preserve"> and Beam</w:t>
      </w:r>
      <w:r>
        <w:t xml:space="preserve">ish, P. W. (1998). </w:t>
      </w:r>
      <w:proofErr w:type="gramStart"/>
      <w:r w:rsidRPr="00B63EE7">
        <w:t>Performance and survival of international joint ventures with non-conventional ownership structures.</w:t>
      </w:r>
      <w:proofErr w:type="gramEnd"/>
      <w:r w:rsidRPr="00B63EE7">
        <w:t xml:space="preserve"> </w:t>
      </w:r>
      <w:r w:rsidRPr="00DB4777">
        <w:rPr>
          <w:i/>
          <w:iCs/>
          <w:lang w:val="tr-TR"/>
        </w:rPr>
        <w:t>Journal o</w:t>
      </w:r>
      <w:r>
        <w:rPr>
          <w:i/>
          <w:iCs/>
          <w:lang w:val="tr-TR"/>
        </w:rPr>
        <w:t>f International Business Studies</w:t>
      </w:r>
      <w:r>
        <w:rPr>
          <w:i/>
        </w:rPr>
        <w:t>,</w:t>
      </w:r>
      <w:r>
        <w:t xml:space="preserve"> Vol. </w:t>
      </w:r>
      <w:r w:rsidRPr="00B63EE7">
        <w:t xml:space="preserve">29, </w:t>
      </w:r>
      <w:r>
        <w:t xml:space="preserve">pp. </w:t>
      </w:r>
      <w:r w:rsidR="00C209A0">
        <w:t>797-</w:t>
      </w:r>
      <w:r w:rsidRPr="00B63EE7">
        <w:t>818.</w:t>
      </w:r>
    </w:p>
    <w:p w:rsidR="00E37692" w:rsidRPr="00743F44" w:rsidRDefault="00E37692" w:rsidP="00E37692">
      <w:pPr>
        <w:tabs>
          <w:tab w:val="left" w:pos="284"/>
        </w:tabs>
        <w:ind w:left="284" w:hanging="284"/>
        <w:jc w:val="both"/>
        <w:rPr>
          <w:bCs/>
          <w:lang w:val="en-GB"/>
        </w:rPr>
      </w:pPr>
      <w:proofErr w:type="gramStart"/>
      <w:r w:rsidRPr="00743F44">
        <w:t>Office of Governmen</w:t>
      </w:r>
      <w:r w:rsidR="00D35228">
        <w:t>t Commerce</w:t>
      </w:r>
      <w:r w:rsidRPr="00743F44">
        <w:t xml:space="preserve"> (2007)</w:t>
      </w:r>
      <w:r>
        <w:t>.</w:t>
      </w:r>
      <w:proofErr w:type="gramEnd"/>
      <w:r w:rsidRPr="00743F44">
        <w:t xml:space="preserve"> </w:t>
      </w:r>
      <w:r>
        <w:rPr>
          <w:i/>
        </w:rPr>
        <w:t>Project p</w:t>
      </w:r>
      <w:r w:rsidRPr="00315B2D">
        <w:rPr>
          <w:i/>
        </w:rPr>
        <w:t xml:space="preserve">rocurement </w:t>
      </w:r>
      <w:r>
        <w:rPr>
          <w:i/>
        </w:rPr>
        <w:t>lifecycle: The integrated p</w:t>
      </w:r>
      <w:r w:rsidRPr="00315B2D">
        <w:rPr>
          <w:i/>
        </w:rPr>
        <w:t>rocess</w:t>
      </w:r>
      <w:r w:rsidRPr="00743F44">
        <w:t xml:space="preserve">. </w:t>
      </w:r>
      <w:r>
        <w:t>London, UK: O</w:t>
      </w:r>
      <w:r w:rsidR="00D35228">
        <w:t>GC Printing Office</w:t>
      </w:r>
      <w:r>
        <w:t>.</w:t>
      </w:r>
    </w:p>
    <w:p w:rsidR="00E37692" w:rsidRPr="00B63EE7" w:rsidRDefault="00E37692" w:rsidP="00E37692">
      <w:pPr>
        <w:tabs>
          <w:tab w:val="left" w:pos="284"/>
        </w:tabs>
        <w:ind w:left="284" w:hanging="284"/>
        <w:jc w:val="both"/>
      </w:pPr>
      <w:proofErr w:type="spellStart"/>
      <w:proofErr w:type="gramStart"/>
      <w:r w:rsidRPr="00A52EF8">
        <w:t>Schneeweiss</w:t>
      </w:r>
      <w:proofErr w:type="spellEnd"/>
      <w:r w:rsidRPr="00A52EF8">
        <w:t xml:space="preserve">, H. </w:t>
      </w:r>
      <w:r>
        <w:t>and</w:t>
      </w:r>
      <w:r w:rsidRPr="00A52EF8">
        <w:t xml:space="preserve"> </w:t>
      </w:r>
      <w:proofErr w:type="spellStart"/>
      <w:r w:rsidRPr="00A52EF8">
        <w:t>Komlos</w:t>
      </w:r>
      <w:proofErr w:type="spellEnd"/>
      <w:r w:rsidRPr="00A52EF8">
        <w:t>, J.</w:t>
      </w:r>
      <w:r>
        <w:t xml:space="preserve"> (2008).</w:t>
      </w:r>
      <w:proofErr w:type="gramEnd"/>
      <w:r>
        <w:t xml:space="preserve"> </w:t>
      </w:r>
      <w:proofErr w:type="gramStart"/>
      <w:r>
        <w:rPr>
          <w:i/>
        </w:rPr>
        <w:t>Probabilistic rounding and Sheppard’s c</w:t>
      </w:r>
      <w:r w:rsidRPr="009C1BCD">
        <w:rPr>
          <w:i/>
        </w:rPr>
        <w:t>orrection</w:t>
      </w:r>
      <w:r>
        <w:t>.</w:t>
      </w:r>
      <w:proofErr w:type="gramEnd"/>
      <w:r>
        <w:t xml:space="preserve"> Report N</w:t>
      </w:r>
      <w:r w:rsidR="00D35228">
        <w:t xml:space="preserve">o: </w:t>
      </w:r>
      <w:r>
        <w:t>045, Department of Statistics</w:t>
      </w:r>
      <w:r w:rsidR="00D35228">
        <w:t>,</w:t>
      </w:r>
      <w:r>
        <w:t xml:space="preserve"> University of Munich, Munich, Germany.</w:t>
      </w:r>
    </w:p>
    <w:p w:rsidR="005F581A" w:rsidRPr="00462AD0" w:rsidRDefault="005F581A" w:rsidP="001F28B1">
      <w:pPr>
        <w:jc w:val="both"/>
        <w:rPr>
          <w:color w:val="000000"/>
        </w:rPr>
      </w:pPr>
    </w:p>
    <w:p w:rsidR="006502F5" w:rsidRPr="00462AD0" w:rsidRDefault="006502F5" w:rsidP="006502F5">
      <w:pPr>
        <w:jc w:val="both"/>
        <w:rPr>
          <w:color w:val="000000"/>
        </w:rPr>
      </w:pPr>
    </w:p>
    <w:p w:rsidR="006502F5" w:rsidRPr="00462AD0" w:rsidRDefault="006502F5" w:rsidP="001F28B1">
      <w:pPr>
        <w:jc w:val="both"/>
        <w:rPr>
          <w:color w:val="000000"/>
        </w:rPr>
      </w:pPr>
    </w:p>
    <w:sectPr w:rsidR="006502F5" w:rsidRPr="00462AD0" w:rsidSect="00462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49" w:rsidRDefault="00636749">
      <w:r>
        <w:separator/>
      </w:r>
    </w:p>
  </w:endnote>
  <w:endnote w:type="continuationSeparator" w:id="0">
    <w:p w:rsidR="00636749" w:rsidRDefault="0063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7B" w:rsidRPr="00FF55C8" w:rsidRDefault="00672128" w:rsidP="00FF55C8">
    <w:pPr>
      <w:pStyle w:val="Footer"/>
      <w:jc w:val="center"/>
    </w:pPr>
    <w:r>
      <w:rPr>
        <w:rStyle w:val="PageNumber"/>
      </w:rPr>
      <w:fldChar w:fldCharType="begin"/>
    </w:r>
    <w:r w:rsidR="007F1D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3F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7B" w:rsidRDefault="00672128" w:rsidP="00FF55C8">
    <w:pPr>
      <w:pStyle w:val="Footer"/>
      <w:jc w:val="center"/>
    </w:pPr>
    <w:r>
      <w:rPr>
        <w:rStyle w:val="PageNumber"/>
      </w:rPr>
      <w:fldChar w:fldCharType="begin"/>
    </w:r>
    <w:r w:rsidR="007F1D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3F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7B" w:rsidRPr="0095294F" w:rsidRDefault="00672128" w:rsidP="00D92AC8">
    <w:pPr>
      <w:pStyle w:val="Footer"/>
      <w:jc w:val="center"/>
    </w:pPr>
    <w:r>
      <w:rPr>
        <w:rStyle w:val="PageNumber"/>
      </w:rPr>
      <w:fldChar w:fldCharType="begin"/>
    </w:r>
    <w:r w:rsidR="007F1D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3F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49" w:rsidRDefault="00636749">
      <w:r>
        <w:separator/>
      </w:r>
    </w:p>
  </w:footnote>
  <w:footnote w:type="continuationSeparator" w:id="0">
    <w:p w:rsidR="00636749" w:rsidRDefault="0063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F7" w:rsidRDefault="008313F7" w:rsidP="008313F7">
    <w:pPr>
      <w:pStyle w:val="Header"/>
    </w:pPr>
    <w:r>
      <w:t>International Conference on “Cement – Based Materials Tailored for a Sustainable Future”</w:t>
    </w:r>
  </w:p>
  <w:p w:rsidR="008313F7" w:rsidRPr="00EA1611" w:rsidRDefault="008313F7" w:rsidP="008313F7">
    <w:pPr>
      <w:pStyle w:val="Header"/>
    </w:pPr>
    <w:r>
      <w:t>7-8 May 2020 – Istanbul / TURKEY</w:t>
    </w:r>
  </w:p>
  <w:p w:rsidR="00EA1611" w:rsidRPr="008313F7" w:rsidRDefault="00EA1611" w:rsidP="00831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F7" w:rsidRDefault="008313F7" w:rsidP="008313F7">
    <w:pPr>
      <w:pStyle w:val="Header"/>
    </w:pPr>
    <w:r>
      <w:t>International Conference on “Cement – Based Materials Tailored for a Sustainable Future”</w:t>
    </w:r>
  </w:p>
  <w:p w:rsidR="008313F7" w:rsidRPr="00EA1611" w:rsidRDefault="008313F7" w:rsidP="008313F7">
    <w:pPr>
      <w:pStyle w:val="Header"/>
    </w:pPr>
    <w:r>
      <w:t>7-8 May 2020 – Istanbul / TURKEY</w:t>
    </w:r>
  </w:p>
  <w:p w:rsidR="007F1D7B" w:rsidRPr="00AD7F46" w:rsidRDefault="007F1D7B" w:rsidP="00767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7B" w:rsidRDefault="00A82FD2" w:rsidP="00EA1611">
    <w:pPr>
      <w:pStyle w:val="Header"/>
    </w:pPr>
    <w:r>
      <w:t>International C</w:t>
    </w:r>
    <w:r w:rsidR="008313F7">
      <w:t>onference on “Cement – Based Materials Tailored for a Sustainable Future”</w:t>
    </w:r>
  </w:p>
  <w:p w:rsidR="008313F7" w:rsidRPr="00EA1611" w:rsidRDefault="008313F7" w:rsidP="00EA1611">
    <w:pPr>
      <w:pStyle w:val="Header"/>
    </w:pPr>
    <w:r>
      <w:t>7-8 May 2020 – Istanbul /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3D1"/>
    <w:multiLevelType w:val="hybridMultilevel"/>
    <w:tmpl w:val="5C4C69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91097"/>
    <w:multiLevelType w:val="hybridMultilevel"/>
    <w:tmpl w:val="4F62B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1"/>
    <w:rsid w:val="00002A4D"/>
    <w:rsid w:val="0000719F"/>
    <w:rsid w:val="00012470"/>
    <w:rsid w:val="00013463"/>
    <w:rsid w:val="00013A71"/>
    <w:rsid w:val="00022223"/>
    <w:rsid w:val="00025810"/>
    <w:rsid w:val="00042F93"/>
    <w:rsid w:val="00087E7C"/>
    <w:rsid w:val="00092FCA"/>
    <w:rsid w:val="000A0FBE"/>
    <w:rsid w:val="000A1858"/>
    <w:rsid w:val="000B1B65"/>
    <w:rsid w:val="000C31BC"/>
    <w:rsid w:val="000C32FF"/>
    <w:rsid w:val="000D74A0"/>
    <w:rsid w:val="000E4DA9"/>
    <w:rsid w:val="000E5A18"/>
    <w:rsid w:val="00112311"/>
    <w:rsid w:val="00115163"/>
    <w:rsid w:val="0012198A"/>
    <w:rsid w:val="0012662A"/>
    <w:rsid w:val="001308BE"/>
    <w:rsid w:val="001314B2"/>
    <w:rsid w:val="001336AD"/>
    <w:rsid w:val="00144F9B"/>
    <w:rsid w:val="00151250"/>
    <w:rsid w:val="00167D5C"/>
    <w:rsid w:val="00170370"/>
    <w:rsid w:val="00184989"/>
    <w:rsid w:val="0019182A"/>
    <w:rsid w:val="00191D14"/>
    <w:rsid w:val="001954E1"/>
    <w:rsid w:val="001A0734"/>
    <w:rsid w:val="001A32AD"/>
    <w:rsid w:val="001A5FC2"/>
    <w:rsid w:val="001C3123"/>
    <w:rsid w:val="001F03BB"/>
    <w:rsid w:val="001F28B1"/>
    <w:rsid w:val="00206903"/>
    <w:rsid w:val="002221C0"/>
    <w:rsid w:val="00224C3F"/>
    <w:rsid w:val="002343A0"/>
    <w:rsid w:val="00241F89"/>
    <w:rsid w:val="00243113"/>
    <w:rsid w:val="002452A7"/>
    <w:rsid w:val="00245BAF"/>
    <w:rsid w:val="002512F2"/>
    <w:rsid w:val="00252584"/>
    <w:rsid w:val="00264220"/>
    <w:rsid w:val="00270FE9"/>
    <w:rsid w:val="00276C76"/>
    <w:rsid w:val="002B1F39"/>
    <w:rsid w:val="002E231C"/>
    <w:rsid w:val="002E2BCD"/>
    <w:rsid w:val="002E2CF9"/>
    <w:rsid w:val="002E371E"/>
    <w:rsid w:val="002F23A3"/>
    <w:rsid w:val="002F2526"/>
    <w:rsid w:val="002F4A68"/>
    <w:rsid w:val="00301308"/>
    <w:rsid w:val="00313125"/>
    <w:rsid w:val="0032007C"/>
    <w:rsid w:val="003222DD"/>
    <w:rsid w:val="00324E1B"/>
    <w:rsid w:val="0033429E"/>
    <w:rsid w:val="00337761"/>
    <w:rsid w:val="00343F16"/>
    <w:rsid w:val="00345E92"/>
    <w:rsid w:val="0035214A"/>
    <w:rsid w:val="00352605"/>
    <w:rsid w:val="003600B5"/>
    <w:rsid w:val="003710FC"/>
    <w:rsid w:val="00381E0E"/>
    <w:rsid w:val="00383674"/>
    <w:rsid w:val="003909A8"/>
    <w:rsid w:val="00393382"/>
    <w:rsid w:val="003A121B"/>
    <w:rsid w:val="003A2775"/>
    <w:rsid w:val="003C528C"/>
    <w:rsid w:val="003C5FC2"/>
    <w:rsid w:val="003D1EB2"/>
    <w:rsid w:val="003D55D6"/>
    <w:rsid w:val="003D63D1"/>
    <w:rsid w:val="003E0BF0"/>
    <w:rsid w:val="003E4CB0"/>
    <w:rsid w:val="003F2FA1"/>
    <w:rsid w:val="00402990"/>
    <w:rsid w:val="00405E99"/>
    <w:rsid w:val="00412B4C"/>
    <w:rsid w:val="00416FBF"/>
    <w:rsid w:val="00417415"/>
    <w:rsid w:val="004221F2"/>
    <w:rsid w:val="0042457E"/>
    <w:rsid w:val="0042586A"/>
    <w:rsid w:val="004318B3"/>
    <w:rsid w:val="0043531F"/>
    <w:rsid w:val="00440D29"/>
    <w:rsid w:val="00445D81"/>
    <w:rsid w:val="00461ACE"/>
    <w:rsid w:val="0046295C"/>
    <w:rsid w:val="00462AD0"/>
    <w:rsid w:val="004659E7"/>
    <w:rsid w:val="00467456"/>
    <w:rsid w:val="004722A8"/>
    <w:rsid w:val="00480A26"/>
    <w:rsid w:val="00490057"/>
    <w:rsid w:val="0049601D"/>
    <w:rsid w:val="004A2C3E"/>
    <w:rsid w:val="004A316E"/>
    <w:rsid w:val="004A783C"/>
    <w:rsid w:val="004A7AC1"/>
    <w:rsid w:val="004B243B"/>
    <w:rsid w:val="004B4C57"/>
    <w:rsid w:val="004C6F86"/>
    <w:rsid w:val="004E2263"/>
    <w:rsid w:val="004F0526"/>
    <w:rsid w:val="004F625C"/>
    <w:rsid w:val="0050723D"/>
    <w:rsid w:val="00513196"/>
    <w:rsid w:val="00513ADA"/>
    <w:rsid w:val="00523A48"/>
    <w:rsid w:val="005321C7"/>
    <w:rsid w:val="005332F0"/>
    <w:rsid w:val="005359A0"/>
    <w:rsid w:val="00554F86"/>
    <w:rsid w:val="00566B53"/>
    <w:rsid w:val="005C62B5"/>
    <w:rsid w:val="005D3055"/>
    <w:rsid w:val="005D749A"/>
    <w:rsid w:val="005E17F5"/>
    <w:rsid w:val="005E42BB"/>
    <w:rsid w:val="005F32CD"/>
    <w:rsid w:val="005F581A"/>
    <w:rsid w:val="00607B91"/>
    <w:rsid w:val="00622FAE"/>
    <w:rsid w:val="006234CD"/>
    <w:rsid w:val="00625C76"/>
    <w:rsid w:val="00627EC6"/>
    <w:rsid w:val="00632B73"/>
    <w:rsid w:val="00632DB8"/>
    <w:rsid w:val="00633910"/>
    <w:rsid w:val="00636749"/>
    <w:rsid w:val="006447EF"/>
    <w:rsid w:val="00646C18"/>
    <w:rsid w:val="006502F5"/>
    <w:rsid w:val="0065046D"/>
    <w:rsid w:val="00651336"/>
    <w:rsid w:val="00654832"/>
    <w:rsid w:val="00655C40"/>
    <w:rsid w:val="00672128"/>
    <w:rsid w:val="00673DE9"/>
    <w:rsid w:val="00677701"/>
    <w:rsid w:val="0068102A"/>
    <w:rsid w:val="00697BC5"/>
    <w:rsid w:val="006A267D"/>
    <w:rsid w:val="006B5CCA"/>
    <w:rsid w:val="006C7AFD"/>
    <w:rsid w:val="006E2EB0"/>
    <w:rsid w:val="006E5519"/>
    <w:rsid w:val="006F7402"/>
    <w:rsid w:val="00701E8E"/>
    <w:rsid w:val="00704462"/>
    <w:rsid w:val="00705A3F"/>
    <w:rsid w:val="007069EB"/>
    <w:rsid w:val="0071205D"/>
    <w:rsid w:val="0071316E"/>
    <w:rsid w:val="00714725"/>
    <w:rsid w:val="00714964"/>
    <w:rsid w:val="0071723E"/>
    <w:rsid w:val="00733983"/>
    <w:rsid w:val="00741B9A"/>
    <w:rsid w:val="0076472E"/>
    <w:rsid w:val="007667C3"/>
    <w:rsid w:val="00767147"/>
    <w:rsid w:val="00767890"/>
    <w:rsid w:val="0077655D"/>
    <w:rsid w:val="007810A3"/>
    <w:rsid w:val="0079043E"/>
    <w:rsid w:val="0079302D"/>
    <w:rsid w:val="00796BE6"/>
    <w:rsid w:val="007A0949"/>
    <w:rsid w:val="007A4150"/>
    <w:rsid w:val="007C7029"/>
    <w:rsid w:val="007D0F45"/>
    <w:rsid w:val="007D3E3C"/>
    <w:rsid w:val="007E2A98"/>
    <w:rsid w:val="007F00D3"/>
    <w:rsid w:val="007F1D7B"/>
    <w:rsid w:val="007F46C0"/>
    <w:rsid w:val="00803E60"/>
    <w:rsid w:val="00814C4B"/>
    <w:rsid w:val="008313F7"/>
    <w:rsid w:val="00842B23"/>
    <w:rsid w:val="008A22C1"/>
    <w:rsid w:val="008B64BE"/>
    <w:rsid w:val="008C0A8F"/>
    <w:rsid w:val="008C4772"/>
    <w:rsid w:val="008D2D8E"/>
    <w:rsid w:val="008D722E"/>
    <w:rsid w:val="008D792E"/>
    <w:rsid w:val="008E0A14"/>
    <w:rsid w:val="008F7A0D"/>
    <w:rsid w:val="0090386B"/>
    <w:rsid w:val="0090440C"/>
    <w:rsid w:val="00912A0B"/>
    <w:rsid w:val="0092209C"/>
    <w:rsid w:val="00922A7F"/>
    <w:rsid w:val="00924B78"/>
    <w:rsid w:val="0093568B"/>
    <w:rsid w:val="00942A4F"/>
    <w:rsid w:val="00950E9C"/>
    <w:rsid w:val="0095294F"/>
    <w:rsid w:val="0096604C"/>
    <w:rsid w:val="0096618D"/>
    <w:rsid w:val="00977377"/>
    <w:rsid w:val="00977D11"/>
    <w:rsid w:val="009935B6"/>
    <w:rsid w:val="00994A01"/>
    <w:rsid w:val="009A03DB"/>
    <w:rsid w:val="009A5D90"/>
    <w:rsid w:val="009B1C29"/>
    <w:rsid w:val="009B4134"/>
    <w:rsid w:val="009C2281"/>
    <w:rsid w:val="009C3222"/>
    <w:rsid w:val="009C44AA"/>
    <w:rsid w:val="009E1AD0"/>
    <w:rsid w:val="009E6218"/>
    <w:rsid w:val="00A004F0"/>
    <w:rsid w:val="00A061BF"/>
    <w:rsid w:val="00A10FCF"/>
    <w:rsid w:val="00A15361"/>
    <w:rsid w:val="00A43680"/>
    <w:rsid w:val="00A60670"/>
    <w:rsid w:val="00A64C5F"/>
    <w:rsid w:val="00A64DE7"/>
    <w:rsid w:val="00A657B2"/>
    <w:rsid w:val="00A761C3"/>
    <w:rsid w:val="00A82873"/>
    <w:rsid w:val="00A828E6"/>
    <w:rsid w:val="00A82FD2"/>
    <w:rsid w:val="00A91B35"/>
    <w:rsid w:val="00A93BC1"/>
    <w:rsid w:val="00AB1BC7"/>
    <w:rsid w:val="00AC2CE2"/>
    <w:rsid w:val="00AD0F44"/>
    <w:rsid w:val="00AD2614"/>
    <w:rsid w:val="00AD7F46"/>
    <w:rsid w:val="00AF070D"/>
    <w:rsid w:val="00AF3555"/>
    <w:rsid w:val="00B05160"/>
    <w:rsid w:val="00B1720E"/>
    <w:rsid w:val="00B20018"/>
    <w:rsid w:val="00B2257C"/>
    <w:rsid w:val="00B372AD"/>
    <w:rsid w:val="00B42ECD"/>
    <w:rsid w:val="00B4680C"/>
    <w:rsid w:val="00B563C1"/>
    <w:rsid w:val="00B6159A"/>
    <w:rsid w:val="00B62F47"/>
    <w:rsid w:val="00B71B9B"/>
    <w:rsid w:val="00B76553"/>
    <w:rsid w:val="00B76862"/>
    <w:rsid w:val="00B801D0"/>
    <w:rsid w:val="00B80CA5"/>
    <w:rsid w:val="00B8283D"/>
    <w:rsid w:val="00BA3BDE"/>
    <w:rsid w:val="00BB1A6F"/>
    <w:rsid w:val="00BB72F1"/>
    <w:rsid w:val="00BC54E2"/>
    <w:rsid w:val="00BC5B27"/>
    <w:rsid w:val="00BD28E9"/>
    <w:rsid w:val="00BE4652"/>
    <w:rsid w:val="00BF4F21"/>
    <w:rsid w:val="00BF5FEB"/>
    <w:rsid w:val="00C00320"/>
    <w:rsid w:val="00C02C28"/>
    <w:rsid w:val="00C209A0"/>
    <w:rsid w:val="00C2152F"/>
    <w:rsid w:val="00C229E5"/>
    <w:rsid w:val="00C3070B"/>
    <w:rsid w:val="00C33AB1"/>
    <w:rsid w:val="00C436CC"/>
    <w:rsid w:val="00C46305"/>
    <w:rsid w:val="00C65AAF"/>
    <w:rsid w:val="00C70324"/>
    <w:rsid w:val="00C84D93"/>
    <w:rsid w:val="00C873DE"/>
    <w:rsid w:val="00C92E54"/>
    <w:rsid w:val="00CB2A1F"/>
    <w:rsid w:val="00CB4D6C"/>
    <w:rsid w:val="00CC4507"/>
    <w:rsid w:val="00CC4820"/>
    <w:rsid w:val="00CD05C4"/>
    <w:rsid w:val="00CD6062"/>
    <w:rsid w:val="00D03B0F"/>
    <w:rsid w:val="00D03DC6"/>
    <w:rsid w:val="00D15ECB"/>
    <w:rsid w:val="00D1779C"/>
    <w:rsid w:val="00D2439E"/>
    <w:rsid w:val="00D34A4D"/>
    <w:rsid w:val="00D35228"/>
    <w:rsid w:val="00D366A0"/>
    <w:rsid w:val="00D41C51"/>
    <w:rsid w:val="00D421B0"/>
    <w:rsid w:val="00D45C61"/>
    <w:rsid w:val="00D460D9"/>
    <w:rsid w:val="00D6576D"/>
    <w:rsid w:val="00D74F35"/>
    <w:rsid w:val="00D80793"/>
    <w:rsid w:val="00D9205F"/>
    <w:rsid w:val="00D92AC8"/>
    <w:rsid w:val="00DA7849"/>
    <w:rsid w:val="00DB1730"/>
    <w:rsid w:val="00DC184B"/>
    <w:rsid w:val="00DD42BE"/>
    <w:rsid w:val="00DD73EF"/>
    <w:rsid w:val="00DF6BF3"/>
    <w:rsid w:val="00E01631"/>
    <w:rsid w:val="00E10905"/>
    <w:rsid w:val="00E144A6"/>
    <w:rsid w:val="00E15E37"/>
    <w:rsid w:val="00E20B73"/>
    <w:rsid w:val="00E30B24"/>
    <w:rsid w:val="00E32D41"/>
    <w:rsid w:val="00E36851"/>
    <w:rsid w:val="00E37692"/>
    <w:rsid w:val="00E41D94"/>
    <w:rsid w:val="00E42188"/>
    <w:rsid w:val="00E700B0"/>
    <w:rsid w:val="00E71A6D"/>
    <w:rsid w:val="00E72EDE"/>
    <w:rsid w:val="00E73290"/>
    <w:rsid w:val="00E84F5E"/>
    <w:rsid w:val="00E85B3E"/>
    <w:rsid w:val="00E86969"/>
    <w:rsid w:val="00EA1611"/>
    <w:rsid w:val="00EA1619"/>
    <w:rsid w:val="00EA303E"/>
    <w:rsid w:val="00EA3268"/>
    <w:rsid w:val="00EA4ECE"/>
    <w:rsid w:val="00EB05DD"/>
    <w:rsid w:val="00EB5486"/>
    <w:rsid w:val="00EF186D"/>
    <w:rsid w:val="00EF7F3B"/>
    <w:rsid w:val="00F049A4"/>
    <w:rsid w:val="00F0563E"/>
    <w:rsid w:val="00F05B0A"/>
    <w:rsid w:val="00F07255"/>
    <w:rsid w:val="00F11548"/>
    <w:rsid w:val="00F15AA0"/>
    <w:rsid w:val="00F227A2"/>
    <w:rsid w:val="00F25888"/>
    <w:rsid w:val="00F276F1"/>
    <w:rsid w:val="00F304B5"/>
    <w:rsid w:val="00F314D3"/>
    <w:rsid w:val="00F35124"/>
    <w:rsid w:val="00F3710C"/>
    <w:rsid w:val="00F426C7"/>
    <w:rsid w:val="00F536AA"/>
    <w:rsid w:val="00F608B8"/>
    <w:rsid w:val="00F64811"/>
    <w:rsid w:val="00F64C93"/>
    <w:rsid w:val="00F65F70"/>
    <w:rsid w:val="00F80963"/>
    <w:rsid w:val="00F830B5"/>
    <w:rsid w:val="00F859C6"/>
    <w:rsid w:val="00FC277B"/>
    <w:rsid w:val="00FD6665"/>
    <w:rsid w:val="00FD6AF8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2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7402"/>
    <w:pPr>
      <w:jc w:val="center"/>
    </w:pPr>
    <w:rPr>
      <w:b/>
      <w:sz w:val="32"/>
    </w:rPr>
  </w:style>
  <w:style w:type="paragraph" w:customStyle="1" w:styleId="Author">
    <w:name w:val="Author"/>
    <w:basedOn w:val="Normal"/>
    <w:next w:val="Affiliation"/>
    <w:rsid w:val="006F7402"/>
    <w:pPr>
      <w:suppressAutoHyphens/>
      <w:spacing w:line="320" w:lineRule="exact"/>
    </w:pPr>
    <w:rPr>
      <w:sz w:val="26"/>
      <w:lang w:eastAsia="en-US"/>
    </w:rPr>
  </w:style>
  <w:style w:type="paragraph" w:customStyle="1" w:styleId="Affiliation">
    <w:name w:val="Affiliation"/>
    <w:basedOn w:val="Author"/>
    <w:next w:val="Author"/>
    <w:rsid w:val="006F7402"/>
    <w:pPr>
      <w:spacing w:after="100" w:line="280" w:lineRule="exact"/>
    </w:pPr>
    <w:rPr>
      <w:i/>
      <w:sz w:val="22"/>
    </w:rPr>
  </w:style>
  <w:style w:type="character" w:styleId="Hyperlink">
    <w:name w:val="Hyperlink"/>
    <w:rsid w:val="006F7402"/>
    <w:rPr>
      <w:color w:val="0000FF"/>
      <w:u w:val="single"/>
    </w:rPr>
  </w:style>
  <w:style w:type="character" w:styleId="LineNumber">
    <w:name w:val="line number"/>
    <w:basedOn w:val="DefaultParagraphFont"/>
    <w:rsid w:val="006F7402"/>
  </w:style>
  <w:style w:type="paragraph" w:styleId="Header">
    <w:name w:val="header"/>
    <w:basedOn w:val="Normal"/>
    <w:rsid w:val="00126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6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A32AD"/>
    <w:pPr>
      <w:spacing w:after="120" w:line="480" w:lineRule="auto"/>
      <w:ind w:left="360"/>
    </w:pPr>
    <w:rPr>
      <w:lang w:eastAsia="en-US"/>
    </w:rPr>
  </w:style>
  <w:style w:type="character" w:styleId="PageNumber">
    <w:name w:val="page number"/>
    <w:basedOn w:val="DefaultParagraphFont"/>
    <w:rsid w:val="00A60670"/>
  </w:style>
  <w:style w:type="table" w:styleId="TableSimple1">
    <w:name w:val="Table Simple 1"/>
    <w:basedOn w:val="TableNormal"/>
    <w:rsid w:val="006548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EA303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A303E"/>
    <w:pPr>
      <w:spacing w:after="120" w:line="480" w:lineRule="auto"/>
    </w:pPr>
    <w:rPr>
      <w:sz w:val="24"/>
      <w:szCs w:val="24"/>
      <w:lang w:eastAsia="en-US"/>
    </w:rPr>
  </w:style>
  <w:style w:type="paragraph" w:customStyle="1" w:styleId="Default">
    <w:name w:val="Default"/>
    <w:rsid w:val="003E4CB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EA16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0F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21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2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7402"/>
    <w:pPr>
      <w:jc w:val="center"/>
    </w:pPr>
    <w:rPr>
      <w:b/>
      <w:sz w:val="32"/>
    </w:rPr>
  </w:style>
  <w:style w:type="paragraph" w:customStyle="1" w:styleId="Author">
    <w:name w:val="Author"/>
    <w:basedOn w:val="Normal"/>
    <w:next w:val="Affiliation"/>
    <w:rsid w:val="006F7402"/>
    <w:pPr>
      <w:suppressAutoHyphens/>
      <w:spacing w:line="320" w:lineRule="exact"/>
    </w:pPr>
    <w:rPr>
      <w:sz w:val="26"/>
      <w:lang w:eastAsia="en-US"/>
    </w:rPr>
  </w:style>
  <w:style w:type="paragraph" w:customStyle="1" w:styleId="Affiliation">
    <w:name w:val="Affiliation"/>
    <w:basedOn w:val="Author"/>
    <w:next w:val="Author"/>
    <w:rsid w:val="006F7402"/>
    <w:pPr>
      <w:spacing w:after="100" w:line="280" w:lineRule="exact"/>
    </w:pPr>
    <w:rPr>
      <w:i/>
      <w:sz w:val="22"/>
    </w:rPr>
  </w:style>
  <w:style w:type="character" w:styleId="Hyperlink">
    <w:name w:val="Hyperlink"/>
    <w:rsid w:val="006F7402"/>
    <w:rPr>
      <w:color w:val="0000FF"/>
      <w:u w:val="single"/>
    </w:rPr>
  </w:style>
  <w:style w:type="character" w:styleId="LineNumber">
    <w:name w:val="line number"/>
    <w:basedOn w:val="DefaultParagraphFont"/>
    <w:rsid w:val="006F7402"/>
  </w:style>
  <w:style w:type="paragraph" w:styleId="Header">
    <w:name w:val="header"/>
    <w:basedOn w:val="Normal"/>
    <w:rsid w:val="00126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6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A32AD"/>
    <w:pPr>
      <w:spacing w:after="120" w:line="480" w:lineRule="auto"/>
      <w:ind w:left="360"/>
    </w:pPr>
    <w:rPr>
      <w:lang w:eastAsia="en-US"/>
    </w:rPr>
  </w:style>
  <w:style w:type="character" w:styleId="PageNumber">
    <w:name w:val="page number"/>
    <w:basedOn w:val="DefaultParagraphFont"/>
    <w:rsid w:val="00A60670"/>
  </w:style>
  <w:style w:type="table" w:styleId="TableSimple1">
    <w:name w:val="Table Simple 1"/>
    <w:basedOn w:val="TableNormal"/>
    <w:rsid w:val="006548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EA303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A303E"/>
    <w:pPr>
      <w:spacing w:after="120" w:line="480" w:lineRule="auto"/>
    </w:pPr>
    <w:rPr>
      <w:sz w:val="24"/>
      <w:szCs w:val="24"/>
      <w:lang w:eastAsia="en-US"/>
    </w:rPr>
  </w:style>
  <w:style w:type="paragraph" w:customStyle="1" w:styleId="Default">
    <w:name w:val="Default"/>
    <w:rsid w:val="003E4CB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EA16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0F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21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Manuscript Preparation for International Conference on Problematic Soils</vt:lpstr>
      <vt:lpstr>Manuscript Preparation for International Conference on Problematic Soils</vt:lpstr>
    </vt:vector>
  </TitlesOfParts>
  <Company>emu</Company>
  <LinksUpToDate>false</LinksUpToDate>
  <CharactersWithSpaces>6867</CharactersWithSpaces>
  <SharedDoc>false</SharedDoc>
  <HLinks>
    <vt:vector size="6" baseType="variant">
      <vt:variant>
        <vt:i4>2228253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cid:image002.jpg@01CF37B6.29FCC280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International Conference on Problematic Soils</dc:title>
  <dc:creator>civileng</dc:creator>
  <cp:lastModifiedBy>Kubilay Sahin - Dekon Congress &amp; Tourism</cp:lastModifiedBy>
  <cp:revision>2</cp:revision>
  <cp:lastPrinted>2010-03-26T09:14:00Z</cp:lastPrinted>
  <dcterms:created xsi:type="dcterms:W3CDTF">2019-08-08T11:26:00Z</dcterms:created>
  <dcterms:modified xsi:type="dcterms:W3CDTF">2019-08-08T11:26:00Z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